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F0" w:rsidRDefault="00AE24D9">
      <w:pPr>
        <w:pStyle w:val="10"/>
        <w:rPr>
          <w:rStyle w:val="ae"/>
          <w:color w:val="auto"/>
          <w:sz w:val="24"/>
          <w:szCs w:val="24"/>
        </w:rPr>
      </w:pPr>
      <w:r w:rsidRPr="00AE7A30">
        <w:rPr>
          <w:rStyle w:val="ae"/>
          <w:color w:val="auto"/>
          <w:sz w:val="24"/>
          <w:szCs w:val="24"/>
        </w:rPr>
        <w:fldChar w:fldCharType="begin"/>
      </w:r>
      <w:r w:rsidRPr="00AE7A30">
        <w:rPr>
          <w:rStyle w:val="ae"/>
          <w:color w:val="auto"/>
          <w:sz w:val="24"/>
          <w:szCs w:val="24"/>
        </w:rPr>
        <w:instrText>HYPERLINK "https://internet.garant.ru/document/redirect/403195176/0"</w:instrText>
      </w:r>
      <w:r w:rsidRPr="00AE7A30">
        <w:rPr>
          <w:rStyle w:val="ae"/>
          <w:color w:val="auto"/>
          <w:sz w:val="24"/>
          <w:szCs w:val="24"/>
        </w:rPr>
        <w:fldChar w:fldCharType="separate"/>
      </w:r>
      <w:r w:rsidRPr="00AE7A30">
        <w:rPr>
          <w:rStyle w:val="ae"/>
          <w:color w:val="auto"/>
          <w:sz w:val="24"/>
          <w:szCs w:val="24"/>
        </w:rPr>
        <w:t xml:space="preserve">Приказ Федеральной службы государственной регистрации, кадастра и картографии от 22 июля 2021 г. N П/0315 "Об утверждении Порядка осуществления государственного мониторинга земель, за </w:t>
      </w:r>
      <w:r w:rsidRPr="00AE7A30">
        <w:rPr>
          <w:rStyle w:val="ae"/>
          <w:color w:val="auto"/>
          <w:sz w:val="24"/>
          <w:szCs w:val="24"/>
        </w:rPr>
        <w:t>исключением земель сельскохозяйственного назначения"</w:t>
      </w:r>
      <w:r w:rsidRPr="00AE7A30">
        <w:rPr>
          <w:rStyle w:val="ae"/>
          <w:color w:val="auto"/>
          <w:sz w:val="24"/>
          <w:szCs w:val="24"/>
        </w:rPr>
        <w:fldChar w:fldCharType="end"/>
      </w:r>
    </w:p>
    <w:p w:rsidR="00AE7A30" w:rsidRPr="00AE7A30" w:rsidRDefault="00AE7A30" w:rsidP="00AE7A30"/>
    <w:p w:rsidR="004D4CF0" w:rsidRDefault="004D4CF0">
      <w:pPr>
        <w:rPr>
          <w:rStyle w:val="a4"/>
        </w:rPr>
      </w:pPr>
    </w:p>
    <w:p w:rsidR="004D4CF0" w:rsidRDefault="00AE24D9">
      <w:pPr>
        <w:rPr>
          <w:rStyle w:val="a4"/>
        </w:rPr>
      </w:pPr>
      <w:r>
        <w:rPr>
          <w:rStyle w:val="a4"/>
        </w:rPr>
        <w:t xml:space="preserve">В соответствии с </w:t>
      </w:r>
      <w:hyperlink r:id="rId6" w:history="1">
        <w:r>
          <w:rPr>
            <w:rStyle w:val="ae"/>
          </w:rPr>
          <w:t>пунктом 5 статьи 67</w:t>
        </w:r>
      </w:hyperlink>
      <w:r>
        <w:rPr>
          <w:rStyle w:val="a4"/>
        </w:rPr>
        <w:t xml:space="preserve"> Земельного кодекса Российской Федерации (Собрание законодательства Российской Федерации, 2</w:t>
      </w:r>
      <w:r>
        <w:rPr>
          <w:rStyle w:val="a4"/>
        </w:rPr>
        <w:t xml:space="preserve">001, N 44, ст. 4147; 2014, N 30, ст. 4235) и </w:t>
      </w:r>
      <w:hyperlink r:id="rId7" w:history="1">
        <w:r>
          <w:rPr>
            <w:rStyle w:val="ae"/>
          </w:rPr>
          <w:t>пунктом 1</w:t>
        </w:r>
      </w:hyperlink>
      <w:r>
        <w:rPr>
          <w:rStyle w:val="a4"/>
        </w:rPr>
        <w:t xml:space="preserve">, </w:t>
      </w:r>
      <w:hyperlink r:id="rId8" w:history="1">
        <w:r>
          <w:rPr>
            <w:rStyle w:val="ae"/>
          </w:rPr>
          <w:t>подпунктами 5.1.13</w:t>
        </w:r>
      </w:hyperlink>
      <w:r>
        <w:rPr>
          <w:rStyle w:val="a4"/>
        </w:rPr>
        <w:t xml:space="preserve">, </w:t>
      </w:r>
      <w:hyperlink r:id="rId9" w:history="1">
        <w:r>
          <w:rPr>
            <w:rStyle w:val="ae"/>
          </w:rPr>
          <w:t>5.26(7)</w:t>
        </w:r>
      </w:hyperlink>
      <w:r>
        <w:rPr>
          <w:rStyle w:val="a4"/>
        </w:rPr>
        <w:t xml:space="preserve">, </w:t>
      </w:r>
      <w:hyperlink r:id="rId10" w:history="1">
        <w:r>
          <w:rPr>
            <w:rStyle w:val="ae"/>
          </w:rPr>
          <w:t>5.26(7.20) пункта 5</w:t>
        </w:r>
      </w:hyperlink>
      <w:r>
        <w:rPr>
          <w:rStyle w:val="a4"/>
        </w:rPr>
        <w:t xml:space="preserve"> Положения о Федеральной службе государственной регистрации, кадастра и картографии, утвержденного </w:t>
      </w:r>
      <w:hyperlink r:id="rId11" w:history="1">
        <w:r>
          <w:rPr>
            <w:rStyle w:val="ae"/>
          </w:rPr>
          <w:t>постановлением</w:t>
        </w:r>
      </w:hyperlink>
      <w:r>
        <w:rPr>
          <w:rStyle w:val="a4"/>
        </w:rPr>
        <w:t xml:space="preserve"> Правительства Российской Федерации от 1 июня 2009 г. N 457 (Собрание законодательства Российской Федерации, 2009, N 25, ст. 3052; 2020, N 7, ст. 855), приказываю:</w:t>
      </w:r>
    </w:p>
    <w:p w:rsidR="004D4CF0" w:rsidRDefault="00AE24D9">
      <w:pPr>
        <w:rPr>
          <w:rStyle w:val="a4"/>
        </w:rPr>
      </w:pPr>
      <w:bookmarkStart w:id="0" w:name="sub_1"/>
      <w:r>
        <w:rPr>
          <w:rStyle w:val="a4"/>
        </w:rPr>
        <w:t>1. Утвердить Порядок ос</w:t>
      </w:r>
      <w:r>
        <w:rPr>
          <w:rStyle w:val="a4"/>
        </w:rPr>
        <w:t xml:space="preserve">уществления государственного мониторинга земель, за исключением земель сельскохозяйственного назначения, согласно </w:t>
      </w:r>
      <w:hyperlink w:anchor="sub_1000" w:history="1">
        <w:r>
          <w:rPr>
            <w:rStyle w:val="ae"/>
          </w:rPr>
          <w:t>приложению</w:t>
        </w:r>
      </w:hyperlink>
      <w:r>
        <w:rPr>
          <w:rStyle w:val="a4"/>
        </w:rPr>
        <w:t>.</w:t>
      </w:r>
    </w:p>
    <w:p w:rsidR="004D4CF0" w:rsidRDefault="00AE24D9">
      <w:pPr>
        <w:rPr>
          <w:rStyle w:val="a4"/>
        </w:rPr>
      </w:pPr>
      <w:bookmarkStart w:id="1" w:name="sub_2"/>
      <w:bookmarkEnd w:id="0"/>
      <w:r>
        <w:rPr>
          <w:rStyle w:val="a4"/>
        </w:rPr>
        <w:t xml:space="preserve">2. Настоящий приказ вступает в силу с даты признания утратившим силу </w:t>
      </w:r>
      <w:hyperlink r:id="rId12" w:history="1">
        <w:r>
          <w:rPr>
            <w:rStyle w:val="ae"/>
          </w:rPr>
          <w:t>приказа</w:t>
        </w:r>
      </w:hyperlink>
      <w:r>
        <w:rPr>
          <w:rStyle w:val="a4"/>
        </w:rPr>
        <w:t xml:space="preserve"> Минэкономразвития России от 26 декабря 2014 г. N 852 "Об утверждении Порядка осуществления государственного мониторинга земель, за исключением земель сельскохозяйственного назначения" (зарегистрирован Минюстом Рос</w:t>
      </w:r>
      <w:r>
        <w:rPr>
          <w:rStyle w:val="a4"/>
        </w:rPr>
        <w:t>сии 13 февраля 2015 г., регистрационный N 35994).</w:t>
      </w:r>
    </w:p>
    <w:p w:rsidR="00AE7A30" w:rsidRDefault="00AE7A30">
      <w:pPr>
        <w:rPr>
          <w:rStyle w:val="a4"/>
        </w:rPr>
      </w:pPr>
      <w:bookmarkStart w:id="2" w:name="_GoBack"/>
      <w:bookmarkEnd w:id="2"/>
    </w:p>
    <w:bookmarkEnd w:id="1"/>
    <w:p w:rsidR="004D4CF0" w:rsidRDefault="004D4CF0">
      <w:pPr>
        <w:rPr>
          <w:rStyle w:val="a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867"/>
        <w:gridCol w:w="3433"/>
      </w:tblGrid>
      <w:tr w:rsidR="004D4CF0">
        <w:tc>
          <w:tcPr>
            <w:tcW w:w="6867" w:type="dxa"/>
            <w:tcMar>
              <w:top w:w="0" w:type="dxa"/>
              <w:bottom w:w="0" w:type="dxa"/>
            </w:tcMar>
          </w:tcPr>
          <w:p w:rsidR="004D4CF0" w:rsidRDefault="00AE24D9">
            <w:pPr>
              <w:pStyle w:val="ab"/>
            </w:pPr>
            <w:r>
              <w:t>Руководитель</w:t>
            </w:r>
          </w:p>
        </w:tc>
        <w:tc>
          <w:tcPr>
            <w:tcW w:w="3433" w:type="dxa"/>
            <w:tcMar>
              <w:top w:w="0" w:type="dxa"/>
              <w:bottom w:w="0" w:type="dxa"/>
            </w:tcMar>
          </w:tcPr>
          <w:p w:rsidR="004D4CF0" w:rsidRDefault="00AE24D9">
            <w:pPr>
              <w:pStyle w:val="af2"/>
              <w:jc w:val="right"/>
            </w:pPr>
            <w:r>
              <w:t>О.А. </w:t>
            </w:r>
            <w:proofErr w:type="spellStart"/>
            <w:r>
              <w:t>Скуфинский</w:t>
            </w:r>
            <w:proofErr w:type="spellEnd"/>
          </w:p>
        </w:tc>
      </w:tr>
    </w:tbl>
    <w:p w:rsidR="004D4CF0" w:rsidRDefault="004D4CF0">
      <w:pPr>
        <w:rPr>
          <w:rStyle w:val="a4"/>
        </w:rPr>
      </w:pPr>
    </w:p>
    <w:p w:rsidR="004D4CF0" w:rsidRDefault="00AE24D9">
      <w:pPr>
        <w:pStyle w:val="ab"/>
      </w:pPr>
      <w:r>
        <w:t>Зарегистрировано в Минюсте РФ 10 декабря 2021 г.</w:t>
      </w:r>
    </w:p>
    <w:p w:rsidR="004D4CF0" w:rsidRDefault="00AE24D9">
      <w:pPr>
        <w:pStyle w:val="ab"/>
      </w:pPr>
      <w:r>
        <w:t>Регистрационный N 66259</w:t>
      </w:r>
    </w:p>
    <w:p w:rsidR="004D4CF0" w:rsidRDefault="004D4CF0">
      <w:pPr>
        <w:rPr>
          <w:rStyle w:val="a4"/>
        </w:rPr>
      </w:pPr>
    </w:p>
    <w:p w:rsidR="004D4CF0" w:rsidRDefault="00AE24D9">
      <w:pPr>
        <w:ind w:firstLine="698"/>
        <w:jc w:val="right"/>
        <w:rPr>
          <w:rStyle w:val="a4"/>
        </w:rPr>
      </w:pPr>
      <w:bookmarkStart w:id="3" w:name="sub_1000"/>
      <w:r>
        <w:rPr>
          <w:rStyle w:val="aa"/>
        </w:rPr>
        <w:t>ПРИЛОЖЕНИЕ</w:t>
      </w:r>
      <w:r>
        <w:rPr>
          <w:rStyle w:val="aa"/>
        </w:rPr>
        <w:br/>
        <w:t xml:space="preserve">к </w:t>
      </w:r>
      <w:r>
        <w:rPr>
          <w:rStyle w:val="ae"/>
        </w:rPr>
        <w:t>приказу</w:t>
      </w:r>
      <w:r>
        <w:rPr>
          <w:rStyle w:val="aa"/>
        </w:rPr>
        <w:t xml:space="preserve"> </w:t>
      </w:r>
      <w:proofErr w:type="spellStart"/>
      <w:r>
        <w:rPr>
          <w:rStyle w:val="aa"/>
        </w:rPr>
        <w:t>Росреестра</w:t>
      </w:r>
      <w:proofErr w:type="spellEnd"/>
      <w:r>
        <w:rPr>
          <w:rStyle w:val="aa"/>
        </w:rPr>
        <w:br/>
        <w:t>от 22 июля 2021 г. N П/0315</w:t>
      </w:r>
    </w:p>
    <w:bookmarkEnd w:id="3"/>
    <w:p w:rsidR="004D4CF0" w:rsidRDefault="004D4CF0">
      <w:pPr>
        <w:rPr>
          <w:rStyle w:val="a4"/>
        </w:rPr>
      </w:pPr>
    </w:p>
    <w:p w:rsidR="004D4CF0" w:rsidRDefault="00AE24D9">
      <w:pPr>
        <w:pStyle w:val="10"/>
      </w:pPr>
      <w:r>
        <w:t>Порядок</w:t>
      </w:r>
      <w:r>
        <w:br/>
        <w:t xml:space="preserve">осуществления государственного </w:t>
      </w:r>
      <w:r>
        <w:t>мониторинга земель, за исключением земель сельскохозяйственного назначения</w:t>
      </w:r>
    </w:p>
    <w:p w:rsidR="004D4CF0" w:rsidRDefault="004D4CF0">
      <w:pPr>
        <w:rPr>
          <w:rStyle w:val="a4"/>
        </w:rPr>
      </w:pPr>
    </w:p>
    <w:p w:rsidR="004D4CF0" w:rsidRDefault="00AE24D9">
      <w:pPr>
        <w:rPr>
          <w:rStyle w:val="a4"/>
        </w:rPr>
      </w:pPr>
      <w:bookmarkStart w:id="4" w:name="sub_1001"/>
      <w:r>
        <w:rPr>
          <w:rStyle w:val="a4"/>
        </w:rPr>
        <w:t>1. Настоящий Порядок определяет механизм осуществления государственного мониторинга земель, за исключением земель сельскохозяйственного назначения (далее - государственный монитори</w:t>
      </w:r>
      <w:r>
        <w:rPr>
          <w:rStyle w:val="a4"/>
        </w:rPr>
        <w:t>нг земель).</w:t>
      </w:r>
    </w:p>
    <w:p w:rsidR="004D4CF0" w:rsidRDefault="00AE24D9">
      <w:pPr>
        <w:rPr>
          <w:rStyle w:val="a4"/>
        </w:rPr>
      </w:pPr>
      <w:bookmarkStart w:id="5" w:name="sub_1002"/>
      <w:bookmarkEnd w:id="4"/>
      <w:r>
        <w:rPr>
          <w:rStyle w:val="a4"/>
        </w:rPr>
        <w:t>2. Государственный мониторинг земель в Российской Федерации осуществляет Федеральная служба государственной регистрации, кадастра и картографии (Росреестр).</w:t>
      </w:r>
    </w:p>
    <w:p w:rsidR="004D4CF0" w:rsidRDefault="00AE24D9">
      <w:pPr>
        <w:rPr>
          <w:rStyle w:val="a4"/>
        </w:rPr>
      </w:pPr>
      <w:bookmarkStart w:id="6" w:name="sub_1003"/>
      <w:bookmarkEnd w:id="5"/>
      <w:r>
        <w:rPr>
          <w:rStyle w:val="a4"/>
        </w:rPr>
        <w:t>3. В рамках государственного мониторинга земель осуществляются:</w:t>
      </w:r>
    </w:p>
    <w:bookmarkEnd w:id="6"/>
    <w:p w:rsidR="004D4CF0" w:rsidRDefault="00AE24D9">
      <w:pPr>
        <w:rPr>
          <w:rStyle w:val="a4"/>
        </w:rPr>
      </w:pPr>
      <w:r>
        <w:rPr>
          <w:rStyle w:val="a4"/>
        </w:rPr>
        <w:t>своевременное выявление</w:t>
      </w:r>
      <w:r>
        <w:rPr>
          <w:rStyle w:val="a4"/>
        </w:rPr>
        <w:t xml:space="preserve"> изменений состояния земель, оценка и прогнозирование этих изменений, выработка предложений о предотвращении негативного воздействия на земли, об устранении последствий такого воздействия;</w:t>
      </w:r>
    </w:p>
    <w:p w:rsidR="004D4CF0" w:rsidRDefault="00AE24D9">
      <w:pPr>
        <w:rPr>
          <w:rStyle w:val="a4"/>
        </w:rPr>
      </w:pPr>
      <w:r>
        <w:rPr>
          <w:rStyle w:val="a4"/>
        </w:rPr>
        <w:t xml:space="preserve">обеспечение органов государственной власти информацией о состоянии </w:t>
      </w:r>
      <w:r>
        <w:rPr>
          <w:rStyle w:val="a4"/>
        </w:rPr>
        <w:t>окружающей среды в части состояния земель в целях реализации полномочий данных органов в области земельных отношений, включая реализацию полномочий по государственному земельному надзору;</w:t>
      </w:r>
    </w:p>
    <w:p w:rsidR="004D4CF0" w:rsidRDefault="00AE24D9">
      <w:pPr>
        <w:rPr>
          <w:rStyle w:val="a4"/>
        </w:rPr>
      </w:pPr>
      <w:r>
        <w:rPr>
          <w:rStyle w:val="a4"/>
        </w:rPr>
        <w:t xml:space="preserve">обеспечение органов местного самоуправления информацией о состоянии </w:t>
      </w:r>
      <w:r>
        <w:rPr>
          <w:rStyle w:val="a4"/>
        </w:rPr>
        <w:t>окружающей среды в части состояния земель в целях реализации полномочий данных органов в области земельных отношений, в том числе по муниципальному земельному контролю;</w:t>
      </w:r>
    </w:p>
    <w:p w:rsidR="004D4CF0" w:rsidRDefault="00AE24D9">
      <w:pPr>
        <w:rPr>
          <w:rStyle w:val="a4"/>
        </w:rPr>
      </w:pPr>
      <w:r>
        <w:rPr>
          <w:rStyle w:val="a4"/>
        </w:rPr>
        <w:t>обеспечение юридических лиц, индивидуальных предпринимателей, граждан информацией о сос</w:t>
      </w:r>
      <w:r>
        <w:rPr>
          <w:rStyle w:val="a4"/>
        </w:rPr>
        <w:t>тоянии окружающей среды в части состояния земель.</w:t>
      </w:r>
    </w:p>
    <w:p w:rsidR="004D4CF0" w:rsidRDefault="00AE24D9">
      <w:pPr>
        <w:rPr>
          <w:rStyle w:val="a4"/>
        </w:rPr>
      </w:pPr>
      <w:bookmarkStart w:id="7" w:name="sub_1004"/>
      <w:r>
        <w:rPr>
          <w:rStyle w:val="a4"/>
        </w:rPr>
        <w:t>4. Государственный мониторинг земель подразделяется на мониторинг использования земель и мониторинг состояния земель.</w:t>
      </w:r>
    </w:p>
    <w:p w:rsidR="004D4CF0" w:rsidRDefault="00AE24D9">
      <w:pPr>
        <w:rPr>
          <w:rStyle w:val="a4"/>
        </w:rPr>
      </w:pPr>
      <w:bookmarkStart w:id="8" w:name="sub_1005"/>
      <w:bookmarkEnd w:id="7"/>
      <w:r>
        <w:rPr>
          <w:rStyle w:val="a4"/>
        </w:rPr>
        <w:lastRenderedPageBreak/>
        <w:t>5. В рамках мониторинга использования земель осуществляется наблюдение за использованием</w:t>
      </w:r>
      <w:r>
        <w:rPr>
          <w:rStyle w:val="a4"/>
        </w:rPr>
        <w:t xml:space="preserve"> земель и земельных участков в соответствии с их целевым назначением.</w:t>
      </w:r>
    </w:p>
    <w:bookmarkEnd w:id="8"/>
    <w:p w:rsidR="004D4CF0" w:rsidRDefault="00AE24D9">
      <w:pPr>
        <w:rPr>
          <w:rStyle w:val="a4"/>
        </w:rPr>
      </w:pPr>
      <w:r>
        <w:rPr>
          <w:rStyle w:val="a4"/>
        </w:rPr>
        <w:t>Полученные по итогам мониторинга использования земель сведения используются при осуществлении государственного земельного надзора, для обеспечения органов государственной власти, органов</w:t>
      </w:r>
      <w:r>
        <w:rPr>
          <w:rStyle w:val="a4"/>
        </w:rPr>
        <w:t xml:space="preserve"> местного самоуправления, организаций и граждан информацией об использовании земель.</w:t>
      </w:r>
    </w:p>
    <w:p w:rsidR="004D4CF0" w:rsidRDefault="00AE24D9">
      <w:pPr>
        <w:rPr>
          <w:rStyle w:val="a4"/>
        </w:rPr>
      </w:pPr>
      <w:bookmarkStart w:id="9" w:name="sub_1006"/>
      <w:r>
        <w:rPr>
          <w:rStyle w:val="a4"/>
        </w:rPr>
        <w:t>6. В рамках мониторинга состояния земель осуществляются наблюдение за изменением количественных и качественных характеристик земель, в том числе с учетом данных результато</w:t>
      </w:r>
      <w:r>
        <w:rPr>
          <w:rStyle w:val="a4"/>
        </w:rPr>
        <w:t>в наблюдений за состоянием почв, их загрязнением, захламлением отходами производства и потребления, деградацией, нарушением земель, оценка и прогнозирование изменений состояния земель.</w:t>
      </w:r>
    </w:p>
    <w:p w:rsidR="004D4CF0" w:rsidRDefault="00AE24D9">
      <w:pPr>
        <w:rPr>
          <w:rStyle w:val="a4"/>
        </w:rPr>
      </w:pPr>
      <w:bookmarkStart w:id="10" w:name="sub_1007"/>
      <w:bookmarkEnd w:id="9"/>
      <w:r>
        <w:rPr>
          <w:rStyle w:val="a4"/>
        </w:rPr>
        <w:t>7. При проведении мониторинга состояния земель выявляются количественны</w:t>
      </w:r>
      <w:r>
        <w:rPr>
          <w:rStyle w:val="a4"/>
        </w:rPr>
        <w:t xml:space="preserve">е характеристики изменения площадей земель и земельных участков различных категорий, а также видов разрешенного использования, установленных в соответствии со </w:t>
      </w:r>
      <w:hyperlink r:id="rId13" w:history="1">
        <w:r>
          <w:rPr>
            <w:rStyle w:val="ae"/>
          </w:rPr>
          <w:t>статьей 7</w:t>
        </w:r>
      </w:hyperlink>
      <w:r>
        <w:rPr>
          <w:rStyle w:val="a4"/>
        </w:rPr>
        <w:t xml:space="preserve"> Земельного кодекс</w:t>
      </w:r>
      <w:r>
        <w:rPr>
          <w:rStyle w:val="a4"/>
        </w:rPr>
        <w:t>а Российской Федерации</w:t>
      </w:r>
      <w:r>
        <w:rPr>
          <w:rStyle w:val="a4"/>
          <w:vertAlign w:val="superscript"/>
        </w:rPr>
        <w:t> </w:t>
      </w:r>
      <w:hyperlink w:anchor="sub_11111" w:history="1">
        <w:r>
          <w:rPr>
            <w:rStyle w:val="ae"/>
            <w:vertAlign w:val="superscript"/>
          </w:rPr>
          <w:t>1</w:t>
        </w:r>
      </w:hyperlink>
      <w:r>
        <w:rPr>
          <w:rStyle w:val="a4"/>
        </w:rPr>
        <w:t>.</w:t>
      </w:r>
    </w:p>
    <w:bookmarkEnd w:id="10"/>
    <w:p w:rsidR="004D4CF0" w:rsidRDefault="00AE24D9">
      <w:pPr>
        <w:rPr>
          <w:rStyle w:val="a4"/>
        </w:rPr>
      </w:pPr>
      <w:r>
        <w:rPr>
          <w:rStyle w:val="a4"/>
        </w:rPr>
        <w:t>При проведении мониторинга состояния земель выявляются изменения качественных характеристик состояния земель под воздействием следующих негативных процессов: подтопления и затопления, переувлажнения, заб</w:t>
      </w:r>
      <w:r>
        <w:rPr>
          <w:rStyle w:val="a4"/>
        </w:rPr>
        <w:t xml:space="preserve">олачивания, эрозии, опустынивания земель, загрязнения земель тяжелыми металлами, радионуклидами, нефтью и нефтепродуктами, другими токсичными веществами, захламления отходами производства и потребления, вырубок и гарей на землях лесного фонда, образования </w:t>
      </w:r>
      <w:r>
        <w:rPr>
          <w:rStyle w:val="a4"/>
        </w:rPr>
        <w:t>оврагов, оползней, селевых потоков, карстовых и других процессов и явлений, влияющих на состояние земель.</w:t>
      </w:r>
    </w:p>
    <w:p w:rsidR="004D4CF0" w:rsidRDefault="00AE24D9">
      <w:pPr>
        <w:rPr>
          <w:rStyle w:val="a4"/>
        </w:rPr>
      </w:pPr>
      <w:bookmarkStart w:id="11" w:name="sub_1008"/>
      <w:r>
        <w:rPr>
          <w:rStyle w:val="a4"/>
        </w:rPr>
        <w:t>8. При осуществлении государственного мониторинга земель необходимые сведения получаются с использованием:</w:t>
      </w:r>
    </w:p>
    <w:p w:rsidR="004D4CF0" w:rsidRDefault="00AE24D9">
      <w:pPr>
        <w:rPr>
          <w:rStyle w:val="a4"/>
        </w:rPr>
      </w:pPr>
      <w:bookmarkStart w:id="12" w:name="sub_1081"/>
      <w:bookmarkEnd w:id="11"/>
      <w:r>
        <w:rPr>
          <w:rStyle w:val="a4"/>
        </w:rPr>
        <w:t xml:space="preserve">а) дистанционного зондирования Земли из </w:t>
      </w:r>
      <w:r>
        <w:rPr>
          <w:rStyle w:val="a4"/>
        </w:rPr>
        <w:t>космоса или с борта воздушного судна, в том числе беспилотного;</w:t>
      </w:r>
    </w:p>
    <w:p w:rsidR="004D4CF0" w:rsidRDefault="00AE24D9">
      <w:pPr>
        <w:rPr>
          <w:rStyle w:val="a4"/>
        </w:rPr>
      </w:pPr>
      <w:bookmarkStart w:id="13" w:name="sub_1082"/>
      <w:bookmarkEnd w:id="12"/>
      <w:r>
        <w:rPr>
          <w:rStyle w:val="a4"/>
        </w:rPr>
        <w:t>б) наземных съемок, наблюдений и обследований (сплошных и выборочных);</w:t>
      </w:r>
    </w:p>
    <w:p w:rsidR="004D4CF0" w:rsidRDefault="00AE24D9">
      <w:pPr>
        <w:rPr>
          <w:rStyle w:val="a4"/>
        </w:rPr>
      </w:pPr>
      <w:bookmarkStart w:id="14" w:name="sub_1083"/>
      <w:bookmarkEnd w:id="13"/>
      <w:r>
        <w:rPr>
          <w:rStyle w:val="a4"/>
        </w:rPr>
        <w:t>в) сведений, содержащихся в Едином государственном реестре недвижимости;</w:t>
      </w:r>
    </w:p>
    <w:p w:rsidR="004D4CF0" w:rsidRDefault="00AE24D9">
      <w:pPr>
        <w:rPr>
          <w:rStyle w:val="a4"/>
        </w:rPr>
      </w:pPr>
      <w:bookmarkStart w:id="15" w:name="sub_1084"/>
      <w:bookmarkEnd w:id="14"/>
      <w:r>
        <w:rPr>
          <w:rStyle w:val="a4"/>
        </w:rPr>
        <w:t>г) землеустроительной документации;</w:t>
      </w:r>
    </w:p>
    <w:p w:rsidR="004D4CF0" w:rsidRDefault="00AE24D9">
      <w:pPr>
        <w:rPr>
          <w:rStyle w:val="a4"/>
        </w:rPr>
      </w:pPr>
      <w:bookmarkStart w:id="16" w:name="sub_1085"/>
      <w:bookmarkEnd w:id="15"/>
      <w:r>
        <w:rPr>
          <w:rStyle w:val="a4"/>
        </w:rPr>
        <w:t xml:space="preserve">д) сведений </w:t>
      </w:r>
      <w:r>
        <w:rPr>
          <w:rStyle w:val="a4"/>
        </w:rPr>
        <w:t>о количестве земель, содержащихся в актах органов государственной власти и органов местного самоуправления;</w:t>
      </w:r>
    </w:p>
    <w:p w:rsidR="004D4CF0" w:rsidRDefault="00AE24D9">
      <w:pPr>
        <w:rPr>
          <w:rStyle w:val="a4"/>
        </w:rPr>
      </w:pPr>
      <w:bookmarkStart w:id="17" w:name="sub_1086"/>
      <w:bookmarkEnd w:id="16"/>
      <w:r>
        <w:rPr>
          <w:rStyle w:val="a4"/>
        </w:rPr>
        <w:t>е) данных, представленных органами государственной власти и органами местного самоуправления;</w:t>
      </w:r>
    </w:p>
    <w:p w:rsidR="004D4CF0" w:rsidRDefault="00AE24D9">
      <w:pPr>
        <w:rPr>
          <w:rStyle w:val="a4"/>
        </w:rPr>
      </w:pPr>
      <w:bookmarkStart w:id="18" w:name="sub_1087"/>
      <w:bookmarkEnd w:id="17"/>
      <w:r>
        <w:rPr>
          <w:rStyle w:val="a4"/>
        </w:rPr>
        <w:t>ж) результатов обновления единой электронной картограф</w:t>
      </w:r>
      <w:r>
        <w:rPr>
          <w:rStyle w:val="a4"/>
        </w:rPr>
        <w:t xml:space="preserve">ической основы (результатов дешифрирования </w:t>
      </w:r>
      <w:proofErr w:type="spellStart"/>
      <w:r>
        <w:rPr>
          <w:rStyle w:val="a4"/>
        </w:rPr>
        <w:t>ортофотопланов</w:t>
      </w:r>
      <w:proofErr w:type="spellEnd"/>
      <w:r>
        <w:rPr>
          <w:rStyle w:val="a4"/>
        </w:rPr>
        <w:t xml:space="preserve"> или сведений топографических карт и планов), создание и обновление которой предусмотрено </w:t>
      </w:r>
      <w:hyperlink r:id="rId14" w:history="1">
        <w:r>
          <w:rPr>
            <w:rStyle w:val="ae"/>
          </w:rPr>
          <w:t>статьей 20</w:t>
        </w:r>
      </w:hyperlink>
      <w:r>
        <w:rPr>
          <w:rStyle w:val="a4"/>
        </w:rPr>
        <w:t xml:space="preserve"> Федерального закона от 30 д</w:t>
      </w:r>
      <w:r>
        <w:rPr>
          <w:rStyle w:val="a4"/>
        </w:rPr>
        <w:t>екабря 2015 г. N 431-ФЗ "О геодезии, картографии и пространственных данных и о внесении изменений в отдельные законодательные акты Российской Федерации"</w:t>
      </w:r>
      <w:r>
        <w:rPr>
          <w:rStyle w:val="a4"/>
          <w:vertAlign w:val="superscript"/>
        </w:rPr>
        <w:t> </w:t>
      </w:r>
      <w:hyperlink w:anchor="sub_11112" w:history="1">
        <w:r>
          <w:rPr>
            <w:rStyle w:val="ae"/>
            <w:vertAlign w:val="superscript"/>
          </w:rPr>
          <w:t>2</w:t>
        </w:r>
      </w:hyperlink>
      <w:r>
        <w:rPr>
          <w:rStyle w:val="a4"/>
        </w:rPr>
        <w:t>;</w:t>
      </w:r>
    </w:p>
    <w:p w:rsidR="004D4CF0" w:rsidRDefault="00AE24D9">
      <w:pPr>
        <w:rPr>
          <w:rStyle w:val="a4"/>
        </w:rPr>
      </w:pPr>
      <w:bookmarkStart w:id="19" w:name="sub_1088"/>
      <w:bookmarkEnd w:id="18"/>
      <w:r>
        <w:rPr>
          <w:rStyle w:val="a4"/>
        </w:rPr>
        <w:t>з) данных государственного лесного реестра, создание которого предусмотре</w:t>
      </w:r>
      <w:r>
        <w:rPr>
          <w:rStyle w:val="a4"/>
        </w:rPr>
        <w:t xml:space="preserve">но </w:t>
      </w:r>
      <w:hyperlink r:id="rId15" w:history="1">
        <w:r>
          <w:rPr>
            <w:rStyle w:val="ae"/>
          </w:rPr>
          <w:t>статьей 91</w:t>
        </w:r>
      </w:hyperlink>
      <w:r>
        <w:rPr>
          <w:rStyle w:val="a4"/>
        </w:rPr>
        <w:t xml:space="preserve"> Лесного кодекса Российской Федерации</w:t>
      </w:r>
      <w:r>
        <w:rPr>
          <w:rStyle w:val="a4"/>
          <w:vertAlign w:val="superscript"/>
        </w:rPr>
        <w:t> </w:t>
      </w:r>
      <w:hyperlink w:anchor="sub_11113" w:history="1">
        <w:r>
          <w:rPr>
            <w:rStyle w:val="ae"/>
            <w:vertAlign w:val="superscript"/>
          </w:rPr>
          <w:t>3</w:t>
        </w:r>
      </w:hyperlink>
      <w:r>
        <w:rPr>
          <w:rStyle w:val="a4"/>
        </w:rPr>
        <w:t>;</w:t>
      </w:r>
    </w:p>
    <w:p w:rsidR="004D4CF0" w:rsidRDefault="00AE24D9">
      <w:pPr>
        <w:rPr>
          <w:rStyle w:val="a4"/>
        </w:rPr>
      </w:pPr>
      <w:bookmarkStart w:id="20" w:name="sub_1089"/>
      <w:bookmarkEnd w:id="19"/>
      <w:r>
        <w:rPr>
          <w:rStyle w:val="a4"/>
        </w:rPr>
        <w:t>и) иных данных, содержащихся в информационных системах органов государственной власти Российской Федерац</w:t>
      </w:r>
      <w:r>
        <w:rPr>
          <w:rStyle w:val="a4"/>
        </w:rPr>
        <w:t>ии и органов местного самоуправления.</w:t>
      </w:r>
    </w:p>
    <w:p w:rsidR="004D4CF0" w:rsidRDefault="00AE24D9">
      <w:pPr>
        <w:rPr>
          <w:rStyle w:val="a4"/>
        </w:rPr>
      </w:pPr>
      <w:bookmarkStart w:id="21" w:name="sub_1009"/>
      <w:bookmarkEnd w:id="20"/>
      <w:r>
        <w:rPr>
          <w:rStyle w:val="a4"/>
        </w:rPr>
        <w:t>9. Съемки, наблюдения и обследования, осуществляемые в ходе проведения государственного мониторинга земель, в зависимости от срока и периодичности проведения делятся на:</w:t>
      </w:r>
    </w:p>
    <w:p w:rsidR="004D4CF0" w:rsidRDefault="00AE24D9">
      <w:pPr>
        <w:rPr>
          <w:rStyle w:val="a4"/>
        </w:rPr>
      </w:pPr>
      <w:bookmarkStart w:id="22" w:name="sub_1091"/>
      <w:bookmarkEnd w:id="21"/>
      <w:r>
        <w:rPr>
          <w:rStyle w:val="a4"/>
        </w:rPr>
        <w:t>а) базовые (проводятся для получения данных об и</w:t>
      </w:r>
      <w:r>
        <w:rPr>
          <w:rStyle w:val="a4"/>
        </w:rPr>
        <w:t>спользовании и состоянии земель на момент начала осуществления государственного мониторинга земель);</w:t>
      </w:r>
    </w:p>
    <w:p w:rsidR="004D4CF0" w:rsidRDefault="00AE24D9">
      <w:pPr>
        <w:rPr>
          <w:rStyle w:val="a4"/>
        </w:rPr>
      </w:pPr>
      <w:bookmarkStart w:id="23" w:name="sub_1092"/>
      <w:bookmarkEnd w:id="22"/>
      <w:r>
        <w:rPr>
          <w:rStyle w:val="a4"/>
        </w:rPr>
        <w:t>б) периодические (проводятся для получения данных об использовании и состоянии земель и их динамике за период от 3 лет и более в зависимости от интенсивнос</w:t>
      </w:r>
      <w:r>
        <w:rPr>
          <w:rStyle w:val="a4"/>
        </w:rPr>
        <w:t>ти использования территории и развития негативных процессов);</w:t>
      </w:r>
    </w:p>
    <w:p w:rsidR="004D4CF0" w:rsidRDefault="00AE24D9">
      <w:pPr>
        <w:rPr>
          <w:rStyle w:val="a4"/>
        </w:rPr>
      </w:pPr>
      <w:bookmarkStart w:id="24" w:name="sub_1093"/>
      <w:bookmarkEnd w:id="23"/>
      <w:r>
        <w:rPr>
          <w:rStyle w:val="a4"/>
        </w:rPr>
        <w:t>в) оперативные (проводятся для получения данных об использовании и состоянии земель на текущий момент).</w:t>
      </w:r>
    </w:p>
    <w:bookmarkEnd w:id="24"/>
    <w:p w:rsidR="004D4CF0" w:rsidRDefault="00AE24D9">
      <w:pPr>
        <w:rPr>
          <w:rStyle w:val="a4"/>
        </w:rPr>
      </w:pPr>
      <w:r>
        <w:rPr>
          <w:rStyle w:val="a4"/>
        </w:rPr>
        <w:lastRenderedPageBreak/>
        <w:t xml:space="preserve">При подготовке итоговых материалов государственного мониторинга земель указывается, какие </w:t>
      </w:r>
      <w:r>
        <w:rPr>
          <w:rStyle w:val="a4"/>
        </w:rPr>
        <w:t>виды съемки, наблюдения и обследования использовались.</w:t>
      </w:r>
    </w:p>
    <w:p w:rsidR="004D4CF0" w:rsidRDefault="00AE24D9">
      <w:pPr>
        <w:rPr>
          <w:rStyle w:val="a4"/>
        </w:rPr>
      </w:pPr>
      <w:bookmarkStart w:id="25" w:name="sub_1010"/>
      <w:r>
        <w:rPr>
          <w:rStyle w:val="a4"/>
        </w:rPr>
        <w:t>10. В ходе осуществления государственного мониторинга земель Росреестр запрашивает сведения об использовании и состоянии земельных участков у федеральных органов исполнительной власти, к компетенции ко</w:t>
      </w:r>
      <w:r>
        <w:rPr>
          <w:rStyle w:val="a4"/>
        </w:rPr>
        <w:t>торых относится регулирование деятельности в отношении той или иной категории земель или вида разрешенного использования земельных участков, а также у федеральных органов исполнительной власти, органов государственной власти субъектов Российской Федерации,</w:t>
      </w:r>
      <w:r>
        <w:rPr>
          <w:rStyle w:val="a4"/>
        </w:rPr>
        <w:t xml:space="preserve"> органов местного самоуправления, осуществляющих полномочия собственника в отношении земельных участков, находящихся соответственно в собственности Российской Федерации, собственности субъекта Российской Федерации, муниципальной собственности, или земель, </w:t>
      </w:r>
      <w:r>
        <w:rPr>
          <w:rStyle w:val="a4"/>
        </w:rPr>
        <w:t>государственная собственность на которые не разграничена, органов государственной власти субъектов Российской Федерации в области лесных отношений.</w:t>
      </w:r>
    </w:p>
    <w:p w:rsidR="004D4CF0" w:rsidRDefault="00AE24D9">
      <w:pPr>
        <w:rPr>
          <w:rStyle w:val="a4"/>
        </w:rPr>
      </w:pPr>
      <w:bookmarkStart w:id="26" w:name="sub_1011"/>
      <w:bookmarkEnd w:id="25"/>
      <w:r>
        <w:rPr>
          <w:rStyle w:val="a4"/>
        </w:rPr>
        <w:t xml:space="preserve">11. Предоставление сведений, указанных в </w:t>
      </w:r>
      <w:hyperlink w:anchor="sub_1015" w:history="1">
        <w:r>
          <w:rPr>
            <w:rStyle w:val="ae"/>
          </w:rPr>
          <w:t>пунктах 15</w:t>
        </w:r>
      </w:hyperlink>
      <w:r>
        <w:rPr>
          <w:rStyle w:val="a4"/>
        </w:rPr>
        <w:t xml:space="preserve"> и </w:t>
      </w:r>
      <w:hyperlink w:anchor="sub_1016" w:history="1">
        <w:r>
          <w:rPr>
            <w:rStyle w:val="ae"/>
          </w:rPr>
          <w:t>16</w:t>
        </w:r>
      </w:hyperlink>
      <w:r>
        <w:rPr>
          <w:rStyle w:val="a4"/>
        </w:rPr>
        <w:t xml:space="preserve"> настоящего Порядка, осуществляется на основании запросов </w:t>
      </w:r>
      <w:proofErr w:type="spellStart"/>
      <w:r>
        <w:rPr>
          <w:rStyle w:val="a4"/>
        </w:rPr>
        <w:t>Росреестра</w:t>
      </w:r>
      <w:proofErr w:type="spellEnd"/>
      <w:r>
        <w:rPr>
          <w:rStyle w:val="a4"/>
        </w:rPr>
        <w:t xml:space="preserve">, направляемых в форме электронного документа, подписанного усиленной квалифицированной </w:t>
      </w:r>
      <w:hyperlink r:id="rId16" w:history="1">
        <w:r>
          <w:rPr>
            <w:rStyle w:val="ae"/>
          </w:rPr>
          <w:t>электронной подписью</w:t>
        </w:r>
      </w:hyperlink>
      <w:r>
        <w:rPr>
          <w:rStyle w:val="a4"/>
        </w:rPr>
        <w:t xml:space="preserve"> уполномо</w:t>
      </w:r>
      <w:r>
        <w:rPr>
          <w:rStyle w:val="a4"/>
        </w:rPr>
        <w:t xml:space="preserve">ченного должностного лица </w:t>
      </w:r>
      <w:proofErr w:type="spellStart"/>
      <w:r>
        <w:rPr>
          <w:rStyle w:val="a4"/>
        </w:rPr>
        <w:t>Росреестра</w:t>
      </w:r>
      <w:proofErr w:type="spellEnd"/>
      <w:r>
        <w:rPr>
          <w:rStyle w:val="a4"/>
        </w:rPr>
        <w:t>, либо в форме документа на бумажном носителе (в случае невозможности направления в форме электронного документа).</w:t>
      </w:r>
    </w:p>
    <w:bookmarkEnd w:id="26"/>
    <w:p w:rsidR="004D4CF0" w:rsidRDefault="00AE24D9">
      <w:pPr>
        <w:rPr>
          <w:rStyle w:val="a4"/>
        </w:rPr>
      </w:pPr>
      <w:r>
        <w:rPr>
          <w:rStyle w:val="a4"/>
        </w:rPr>
        <w:t xml:space="preserve">Органы государственной власти и органы местного самоуправления предоставляют указанные в </w:t>
      </w:r>
      <w:hyperlink w:anchor="sub_1015" w:history="1">
        <w:r>
          <w:rPr>
            <w:rStyle w:val="ae"/>
          </w:rPr>
          <w:t>пунктах 15</w:t>
        </w:r>
      </w:hyperlink>
      <w:r>
        <w:rPr>
          <w:rStyle w:val="a4"/>
        </w:rPr>
        <w:t xml:space="preserve"> и </w:t>
      </w:r>
      <w:hyperlink w:anchor="sub_1016" w:history="1">
        <w:r>
          <w:rPr>
            <w:rStyle w:val="ae"/>
          </w:rPr>
          <w:t>16</w:t>
        </w:r>
      </w:hyperlink>
      <w:r>
        <w:rPr>
          <w:rStyle w:val="a4"/>
        </w:rPr>
        <w:t xml:space="preserve"> настоящего Порядка сведения в форме электронного документа, подписанного усиленной квалифицированной </w:t>
      </w:r>
      <w:hyperlink r:id="rId17" w:history="1">
        <w:r>
          <w:rPr>
            <w:rStyle w:val="ae"/>
          </w:rPr>
          <w:t>электронной подписью</w:t>
        </w:r>
      </w:hyperlink>
      <w:r>
        <w:rPr>
          <w:rStyle w:val="a4"/>
        </w:rPr>
        <w:t xml:space="preserve"> уполномочен</w:t>
      </w:r>
      <w:r>
        <w:rPr>
          <w:rStyle w:val="a4"/>
        </w:rPr>
        <w:t>ного должностного лица соответствующего органа власти, либо в форме документа на бумажном носителе (в случае невозможности направления в форме электронного документа).</w:t>
      </w:r>
    </w:p>
    <w:p w:rsidR="004D4CF0" w:rsidRDefault="00AE24D9">
      <w:pPr>
        <w:rPr>
          <w:rStyle w:val="a4"/>
        </w:rPr>
      </w:pPr>
      <w:bookmarkStart w:id="27" w:name="sub_1012"/>
      <w:r>
        <w:rPr>
          <w:rStyle w:val="a4"/>
        </w:rPr>
        <w:t>12. В качестве объектов государственного мониторинга земель определяются земли (независи</w:t>
      </w:r>
      <w:r>
        <w:rPr>
          <w:rStyle w:val="a4"/>
        </w:rPr>
        <w:t xml:space="preserve">мо от форм собственности и форм осуществляемого на них хозяйствования) субъекта Российской Федерации в целом, административного муниципального образования (муниципальный район, городское поселение, городской округ, иные муниципальные образования), а также </w:t>
      </w:r>
      <w:r>
        <w:rPr>
          <w:rStyle w:val="a4"/>
        </w:rPr>
        <w:t>земельный участок или группа земельных участков.</w:t>
      </w:r>
    </w:p>
    <w:p w:rsidR="004D4CF0" w:rsidRDefault="00AE24D9">
      <w:pPr>
        <w:rPr>
          <w:rStyle w:val="a4"/>
        </w:rPr>
      </w:pPr>
      <w:bookmarkStart w:id="28" w:name="sub_1013"/>
      <w:bookmarkEnd w:id="27"/>
      <w:r>
        <w:rPr>
          <w:rStyle w:val="a4"/>
        </w:rPr>
        <w:t xml:space="preserve">13. При проведении мониторинга использования земель земельные участки изучаются в соответствии с установленными </w:t>
      </w:r>
      <w:hyperlink r:id="rId18" w:history="1">
        <w:r>
          <w:rPr>
            <w:rStyle w:val="ae"/>
          </w:rPr>
          <w:t>статьей 7</w:t>
        </w:r>
      </w:hyperlink>
      <w:r>
        <w:rPr>
          <w:rStyle w:val="a4"/>
        </w:rPr>
        <w:t xml:space="preserve"> Земельного кодекса Российской Федерации для них категориями и видами разрешенного использования.</w:t>
      </w:r>
    </w:p>
    <w:p w:rsidR="004D4CF0" w:rsidRDefault="00AE24D9">
      <w:pPr>
        <w:rPr>
          <w:rStyle w:val="a4"/>
        </w:rPr>
      </w:pPr>
      <w:bookmarkStart w:id="29" w:name="sub_1014"/>
      <w:bookmarkEnd w:id="28"/>
      <w:r>
        <w:rPr>
          <w:rStyle w:val="a4"/>
        </w:rPr>
        <w:t>14. Каждый объект государственного мониторинга земель описывается набором показателей, определяющих его состояние и использование.</w:t>
      </w:r>
    </w:p>
    <w:p w:rsidR="004D4CF0" w:rsidRDefault="00AE24D9">
      <w:pPr>
        <w:rPr>
          <w:rStyle w:val="a4"/>
        </w:rPr>
      </w:pPr>
      <w:bookmarkStart w:id="30" w:name="sub_1015"/>
      <w:bookmarkEnd w:id="29"/>
      <w:r>
        <w:rPr>
          <w:rStyle w:val="a4"/>
        </w:rPr>
        <w:t>15. Показателями мониторинг</w:t>
      </w:r>
      <w:r>
        <w:rPr>
          <w:rStyle w:val="a4"/>
        </w:rPr>
        <w:t>а использования земель являются:</w:t>
      </w:r>
    </w:p>
    <w:bookmarkEnd w:id="30"/>
    <w:p w:rsidR="004D4CF0" w:rsidRDefault="00AE24D9">
      <w:pPr>
        <w:rPr>
          <w:rStyle w:val="a4"/>
        </w:rPr>
      </w:pPr>
      <w:r>
        <w:rPr>
          <w:rStyle w:val="a4"/>
        </w:rPr>
        <w:t xml:space="preserve">общая площадь земель (земельных участков) соответствующей категории, установленной </w:t>
      </w:r>
      <w:hyperlink r:id="rId19" w:history="1">
        <w:r>
          <w:rPr>
            <w:rStyle w:val="ae"/>
          </w:rPr>
          <w:t>статьей 7</w:t>
        </w:r>
      </w:hyperlink>
      <w:r>
        <w:rPr>
          <w:rStyle w:val="a4"/>
        </w:rPr>
        <w:t xml:space="preserve"> Земельного кодекса Российской Федерации;</w:t>
      </w:r>
    </w:p>
    <w:p w:rsidR="004D4CF0" w:rsidRDefault="00AE24D9">
      <w:pPr>
        <w:rPr>
          <w:rStyle w:val="a4"/>
        </w:rPr>
      </w:pPr>
      <w:r>
        <w:rPr>
          <w:rStyle w:val="a4"/>
        </w:rPr>
        <w:t>общая площадь земел</w:t>
      </w:r>
      <w:r>
        <w:rPr>
          <w:rStyle w:val="a4"/>
        </w:rPr>
        <w:t>ьных участков, имеющих соответствующий вид разрешенного использования (в случае, если государственный мониторинг земель проводится в отношении земельных участков, имеющих определенный вид разрешенного использования);</w:t>
      </w:r>
    </w:p>
    <w:p w:rsidR="004D4CF0" w:rsidRDefault="00AE24D9">
      <w:pPr>
        <w:rPr>
          <w:rStyle w:val="a4"/>
        </w:rPr>
      </w:pPr>
      <w:r>
        <w:rPr>
          <w:rStyle w:val="a4"/>
        </w:rPr>
        <w:t xml:space="preserve">площадь земель или земельных участков, </w:t>
      </w:r>
      <w:r>
        <w:rPr>
          <w:rStyle w:val="a4"/>
        </w:rPr>
        <w:t>в отношении которых выявлено использование их не по целевому назначению в соответствии с его принадлежностью к той или иной категории и (или) разрешенным использованием, невыполнение или несвоевременное выполнение обязанностей по приведению земель в состоя</w:t>
      </w:r>
      <w:r>
        <w:rPr>
          <w:rStyle w:val="a4"/>
        </w:rPr>
        <w:t>ние, пригодное для использования по целевому назначению;</w:t>
      </w:r>
    </w:p>
    <w:p w:rsidR="004D4CF0" w:rsidRDefault="00AE24D9">
      <w:pPr>
        <w:rPr>
          <w:rStyle w:val="a4"/>
        </w:rPr>
      </w:pPr>
      <w:r>
        <w:rPr>
          <w:rStyle w:val="a4"/>
        </w:rPr>
        <w:t xml:space="preserve">площадь земельных участков, в отношении которых выявлено неиспользование земель и земельных участков, предназначенных для жилищного или иного строительства (включая предоставленные для </w:t>
      </w:r>
      <w:r>
        <w:rPr>
          <w:rStyle w:val="a4"/>
        </w:rPr>
        <w:t>индивидуального жилищного строительства и строительства многоквартирного дома), в указанных целях в случае, если обязанность по использованию такого земельного участка в течение установленного срока предусмотрена федеральными законами;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земель или з</w:t>
      </w:r>
      <w:r>
        <w:rPr>
          <w:rStyle w:val="a4"/>
        </w:rPr>
        <w:t xml:space="preserve">емельных участков, в отношении которых выявлены иные нарушения </w:t>
      </w:r>
      <w:hyperlink r:id="rId20" w:history="1">
        <w:r>
          <w:rPr>
            <w:rStyle w:val="ae"/>
          </w:rPr>
          <w:t>земельного законодательства</w:t>
        </w:r>
      </w:hyperlink>
      <w:r>
        <w:rPr>
          <w:rStyle w:val="a4"/>
        </w:rPr>
        <w:t>;</w:t>
      </w:r>
    </w:p>
    <w:p w:rsidR="004D4CF0" w:rsidRDefault="00AE24D9">
      <w:pPr>
        <w:rPr>
          <w:rStyle w:val="a4"/>
        </w:rPr>
      </w:pPr>
      <w:r>
        <w:rPr>
          <w:rStyle w:val="a4"/>
        </w:rPr>
        <w:t xml:space="preserve">площадь распределения земель по формам собственности (в разрезе категорий земель и </w:t>
      </w:r>
      <w:r>
        <w:rPr>
          <w:rStyle w:val="a4"/>
        </w:rPr>
        <w:lastRenderedPageBreak/>
        <w:t>видов разре</w:t>
      </w:r>
      <w:r>
        <w:rPr>
          <w:rStyle w:val="a4"/>
        </w:rPr>
        <w:t>шенного использования), исходя из данных Единого государственного реестра недвижимости.</w:t>
      </w:r>
    </w:p>
    <w:p w:rsidR="004D4CF0" w:rsidRDefault="00AE24D9">
      <w:pPr>
        <w:rPr>
          <w:rStyle w:val="a4"/>
        </w:rPr>
      </w:pPr>
      <w:bookmarkStart w:id="31" w:name="sub_1016"/>
      <w:r>
        <w:rPr>
          <w:rStyle w:val="a4"/>
        </w:rPr>
        <w:t>16. Показателями мониторинга состояния земель (с указанием наименования и степени развития негативного процесса) являются:</w:t>
      </w:r>
    </w:p>
    <w:bookmarkEnd w:id="31"/>
    <w:p w:rsidR="004D4CF0" w:rsidRDefault="00AE24D9">
      <w:pPr>
        <w:rPr>
          <w:rStyle w:val="a4"/>
        </w:rPr>
      </w:pPr>
      <w:r>
        <w:rPr>
          <w:rStyle w:val="a4"/>
        </w:rPr>
        <w:t xml:space="preserve">площадь земель, подверженных эрозии (слабая, </w:t>
      </w:r>
      <w:r>
        <w:rPr>
          <w:rStyle w:val="a4"/>
        </w:rPr>
        <w:t>средняя, сильная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земель, подверженных опустыниванию (слабая, средняя, сильная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подтопленных земель (слабая, средняя, сильная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заболоченных земель (слабая, средняя, сильная степе</w:t>
      </w:r>
      <w:r>
        <w:rPr>
          <w:rStyle w:val="a4"/>
        </w:rPr>
        <w:t>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переувлажненных земель (слабая, средняя, сильная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нарушенных земель (слабая, средняя, сильная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захламленных земель отходами производства и потребления (слабая, средняя, сильная степе</w:t>
      </w:r>
      <w:r>
        <w:rPr>
          <w:rStyle w:val="a4"/>
        </w:rPr>
        <w:t>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земель, подвергшихся радиоактивному загрязнению (слабая, средняя, сильная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земель, загрязненных нефтью и нефтепродуктами (умеренно опасная, опасная, чрезвычайно опасная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земель, загр</w:t>
      </w:r>
      <w:r>
        <w:rPr>
          <w:rStyle w:val="a4"/>
        </w:rPr>
        <w:t>язненных тяжелыми металлами (умеренно опасная, опасная, чрезвычайно опасная степень развития);</w:t>
      </w:r>
    </w:p>
    <w:p w:rsidR="004D4CF0" w:rsidRDefault="00AE24D9">
      <w:pPr>
        <w:rPr>
          <w:rStyle w:val="a4"/>
        </w:rPr>
      </w:pPr>
      <w:r>
        <w:rPr>
          <w:rStyle w:val="a4"/>
        </w:rPr>
        <w:t>площадь земель, подверженных иным негативным процессам.</w:t>
      </w:r>
    </w:p>
    <w:p w:rsidR="004D4CF0" w:rsidRDefault="00AE24D9">
      <w:pPr>
        <w:rPr>
          <w:rStyle w:val="a4"/>
        </w:rPr>
      </w:pPr>
      <w:bookmarkStart w:id="32" w:name="sub_1017"/>
      <w:r>
        <w:rPr>
          <w:rStyle w:val="a4"/>
        </w:rPr>
        <w:t xml:space="preserve">17. Оценка состояния земель выполняется путем анализа ряда последовательных (периодических, оперативных) </w:t>
      </w:r>
      <w:r>
        <w:rPr>
          <w:rStyle w:val="a4"/>
        </w:rPr>
        <w:t>наблюдений, направленности и интенсивности изменений и сравнения полученных показателей со значениями базового наблюдения.</w:t>
      </w:r>
    </w:p>
    <w:bookmarkEnd w:id="32"/>
    <w:p w:rsidR="004D4CF0" w:rsidRDefault="00AE24D9">
      <w:pPr>
        <w:rPr>
          <w:rStyle w:val="a4"/>
        </w:rPr>
      </w:pPr>
      <w:r>
        <w:rPr>
          <w:rStyle w:val="a4"/>
        </w:rPr>
        <w:t>По результатам оценки состояния земель составляются доклады, аналитические записки, содержащие прогнозы и рекомендации, с приложением</w:t>
      </w:r>
      <w:r>
        <w:rPr>
          <w:rStyle w:val="a4"/>
        </w:rPr>
        <w:t xml:space="preserve"> к ним тематических карт, диаграмм и таблиц, характеризующих динамику и направление развития изменений, в особенности имеющих негативный характер.</w:t>
      </w:r>
    </w:p>
    <w:p w:rsidR="004D4CF0" w:rsidRDefault="00AE24D9">
      <w:pPr>
        <w:rPr>
          <w:rStyle w:val="a4"/>
        </w:rPr>
      </w:pPr>
      <w:bookmarkStart w:id="33" w:name="sub_1018"/>
      <w:r>
        <w:rPr>
          <w:rStyle w:val="a4"/>
        </w:rPr>
        <w:t xml:space="preserve">18. Данные, полученные в ходе проведения государственного мониторинга земель, используются при подготовке </w:t>
      </w:r>
      <w:proofErr w:type="spellStart"/>
      <w:r>
        <w:rPr>
          <w:rStyle w:val="a4"/>
        </w:rPr>
        <w:t>Рос</w:t>
      </w:r>
      <w:r>
        <w:rPr>
          <w:rStyle w:val="a4"/>
        </w:rPr>
        <w:t>реестром</w:t>
      </w:r>
      <w:proofErr w:type="spellEnd"/>
      <w:r>
        <w:rPr>
          <w:rStyle w:val="a4"/>
        </w:rPr>
        <w:t xml:space="preserve"> ежегодного государственного (национального) доклада о состоянии и использовании земель в Российской Федерации.</w:t>
      </w:r>
    </w:p>
    <w:p w:rsidR="004D4CF0" w:rsidRDefault="00AE24D9">
      <w:pPr>
        <w:rPr>
          <w:rStyle w:val="a4"/>
        </w:rPr>
      </w:pPr>
      <w:bookmarkStart w:id="34" w:name="sub_1019"/>
      <w:bookmarkEnd w:id="33"/>
      <w:r>
        <w:rPr>
          <w:rStyle w:val="a4"/>
        </w:rPr>
        <w:t>19. Государственный мониторинг земель может осуществляться с использованием автоматизированной информационной системы, являющейся подсис</w:t>
      </w:r>
      <w:r>
        <w:rPr>
          <w:rStyle w:val="a4"/>
        </w:rPr>
        <w:t xml:space="preserve">темой единой системы государственного экологического мониторинга (государственного мониторинга окружающей среды), предусмотренной </w:t>
      </w:r>
      <w:hyperlink r:id="rId21" w:history="1">
        <w:r>
          <w:rPr>
            <w:rStyle w:val="ae"/>
          </w:rPr>
          <w:t>статьей 63.1</w:t>
        </w:r>
      </w:hyperlink>
      <w:r>
        <w:rPr>
          <w:rStyle w:val="a4"/>
        </w:rPr>
        <w:t xml:space="preserve"> Федерального закона от 10 января 2002 г. </w:t>
      </w:r>
      <w:r>
        <w:rPr>
          <w:rStyle w:val="a4"/>
        </w:rPr>
        <w:t>N 7-ФЗ "Об охране окружающей среды"</w:t>
      </w:r>
      <w:r>
        <w:rPr>
          <w:rStyle w:val="a4"/>
          <w:vertAlign w:val="superscript"/>
        </w:rPr>
        <w:t> </w:t>
      </w:r>
      <w:hyperlink w:anchor="sub_11114" w:history="1">
        <w:r>
          <w:rPr>
            <w:rStyle w:val="ae"/>
            <w:vertAlign w:val="superscript"/>
          </w:rPr>
          <w:t>4</w:t>
        </w:r>
      </w:hyperlink>
      <w:r>
        <w:rPr>
          <w:rStyle w:val="a4"/>
        </w:rPr>
        <w:t>.</w:t>
      </w:r>
    </w:p>
    <w:bookmarkEnd w:id="34"/>
    <w:p w:rsidR="004D4CF0" w:rsidRDefault="00AE24D9">
      <w:pPr>
        <w:rPr>
          <w:rStyle w:val="a4"/>
        </w:rPr>
      </w:pPr>
      <w:r>
        <w:rPr>
          <w:rStyle w:val="a4"/>
        </w:rPr>
        <w:t xml:space="preserve">Оператором автоматизированной информационной системы государственного мониторинга земель обеспечивается информационное взаимодействие с автоматизированными информационными системами органов </w:t>
      </w:r>
      <w:r>
        <w:rPr>
          <w:rStyle w:val="a4"/>
        </w:rPr>
        <w:t>государственной власти и органов местного самоуправления.</w:t>
      </w:r>
    </w:p>
    <w:p w:rsidR="004D4CF0" w:rsidRDefault="00AE24D9">
      <w:pPr>
        <w:rPr>
          <w:rStyle w:val="a4"/>
        </w:rPr>
      </w:pPr>
      <w:r>
        <w:rPr>
          <w:rStyle w:val="a4"/>
        </w:rPr>
        <w:t xml:space="preserve">Тематические карты состояния и использования земель, а также материалы почвенных, геоботанических и других обследований и изысканий, оценки качества земель, инвентаризации земель, полученные в ходе </w:t>
      </w:r>
      <w:r>
        <w:rPr>
          <w:rStyle w:val="a4"/>
        </w:rPr>
        <w:t xml:space="preserve">государственного мониторинга земель, хранятся в государственном фонде данных, полученных в результате проведения землеустройства, в порядке, установленном в соответствии со </w:t>
      </w:r>
      <w:hyperlink r:id="rId22" w:history="1">
        <w:r>
          <w:rPr>
            <w:rStyle w:val="ae"/>
          </w:rPr>
          <w:t>статьей 24</w:t>
        </w:r>
      </w:hyperlink>
      <w:r>
        <w:rPr>
          <w:rStyle w:val="a4"/>
        </w:rPr>
        <w:t xml:space="preserve"> Ф</w:t>
      </w:r>
      <w:r>
        <w:rPr>
          <w:rStyle w:val="a4"/>
        </w:rPr>
        <w:t>едерального закона от 18 июня 2001 г. N 78-ФЗ "О землеустройстве"</w:t>
      </w:r>
      <w:r>
        <w:rPr>
          <w:rStyle w:val="a4"/>
          <w:vertAlign w:val="superscript"/>
        </w:rPr>
        <w:t> </w:t>
      </w:r>
      <w:hyperlink w:anchor="sub_11115" w:history="1">
        <w:r>
          <w:rPr>
            <w:rStyle w:val="ae"/>
            <w:vertAlign w:val="superscript"/>
          </w:rPr>
          <w:t>5</w:t>
        </w:r>
      </w:hyperlink>
      <w:r>
        <w:rPr>
          <w:rStyle w:val="a4"/>
        </w:rPr>
        <w:t>.</w:t>
      </w:r>
    </w:p>
    <w:p w:rsidR="004D4CF0" w:rsidRDefault="00AE24D9">
      <w:pPr>
        <w:rPr>
          <w:rStyle w:val="a4"/>
        </w:rPr>
      </w:pPr>
      <w:bookmarkStart w:id="35" w:name="sub_1020"/>
      <w:r>
        <w:rPr>
          <w:rStyle w:val="a4"/>
        </w:rPr>
        <w:t>20. Информация, полученная при осуществлении государственного мониторинга земель, предоставляется оператору государственного фонда данных государственного эколо</w:t>
      </w:r>
      <w:r>
        <w:rPr>
          <w:rStyle w:val="a4"/>
        </w:rPr>
        <w:t xml:space="preserve">гического мониторинга (государственного мониторинга окружающей среды) в порядке, установленном </w:t>
      </w:r>
      <w:hyperlink r:id="rId23" w:history="1">
        <w:r>
          <w:rPr>
            <w:rStyle w:val="ae"/>
          </w:rPr>
          <w:t>постановлением</w:t>
        </w:r>
      </w:hyperlink>
      <w:r>
        <w:rPr>
          <w:rStyle w:val="a4"/>
        </w:rPr>
        <w:t xml:space="preserve"> Правительства Российской Федерации от 9 августа 2013 г. N 681 "О государстве</w:t>
      </w:r>
      <w:r>
        <w:rPr>
          <w:rStyle w:val="a4"/>
        </w:rPr>
        <w:t>нном экологическом мониторинге (государственном мониторинге окружающей среды) и государственном фонде данных государственного экологического мониторинга (государственного мониторинга окружающей среды)"</w:t>
      </w:r>
      <w:r>
        <w:rPr>
          <w:rStyle w:val="a4"/>
          <w:vertAlign w:val="superscript"/>
        </w:rPr>
        <w:t> </w:t>
      </w:r>
      <w:hyperlink w:anchor="sub_11116" w:history="1">
        <w:r>
          <w:rPr>
            <w:rStyle w:val="ae"/>
            <w:vertAlign w:val="superscript"/>
          </w:rPr>
          <w:t>6</w:t>
        </w:r>
      </w:hyperlink>
      <w:r>
        <w:rPr>
          <w:rStyle w:val="a4"/>
        </w:rPr>
        <w:t>.</w:t>
      </w:r>
    </w:p>
    <w:p w:rsidR="004D4CF0" w:rsidRDefault="00AE24D9">
      <w:pPr>
        <w:rPr>
          <w:rStyle w:val="a4"/>
        </w:rPr>
      </w:pPr>
      <w:bookmarkStart w:id="36" w:name="sub_1021"/>
      <w:bookmarkEnd w:id="35"/>
      <w:r>
        <w:rPr>
          <w:rStyle w:val="a4"/>
        </w:rPr>
        <w:t>21. Информация о результ</w:t>
      </w:r>
      <w:r>
        <w:rPr>
          <w:rStyle w:val="a4"/>
        </w:rPr>
        <w:t xml:space="preserve">атах государственного мониторинга земель (за исключением </w:t>
      </w:r>
      <w:r>
        <w:rPr>
          <w:rStyle w:val="a4"/>
        </w:rPr>
        <w:lastRenderedPageBreak/>
        <w:t xml:space="preserve">информации, доступ к которой ограничен федеральными законами) является общедоступной и размещается на </w:t>
      </w:r>
      <w:hyperlink r:id="rId24" w:history="1">
        <w:r>
          <w:rPr>
            <w:rStyle w:val="ae"/>
          </w:rPr>
          <w:t>официальном сайте</w:t>
        </w:r>
      </w:hyperlink>
      <w:r>
        <w:rPr>
          <w:rStyle w:val="a4"/>
        </w:rPr>
        <w:t xml:space="preserve"> </w:t>
      </w:r>
      <w:proofErr w:type="spellStart"/>
      <w:r>
        <w:rPr>
          <w:rStyle w:val="a4"/>
        </w:rPr>
        <w:t>Росрее</w:t>
      </w:r>
      <w:r>
        <w:rPr>
          <w:rStyle w:val="a4"/>
        </w:rPr>
        <w:t>стра</w:t>
      </w:r>
      <w:proofErr w:type="spellEnd"/>
      <w:r>
        <w:rPr>
          <w:rStyle w:val="a4"/>
        </w:rPr>
        <w:t xml:space="preserve"> в информационно-телекоммуникационной сети "Интернет".</w:t>
      </w:r>
    </w:p>
    <w:bookmarkEnd w:id="36"/>
    <w:p w:rsidR="004D4CF0" w:rsidRDefault="00AE24D9">
      <w:pPr>
        <w:pStyle w:val="a5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4D4CF0" w:rsidRDefault="00AE24D9">
      <w:pPr>
        <w:pStyle w:val="a7"/>
      </w:pPr>
      <w:bookmarkStart w:id="37" w:name="sub_11111"/>
      <w:r>
        <w:rPr>
          <w:vertAlign w:val="superscript"/>
        </w:rPr>
        <w:t>1</w:t>
      </w:r>
      <w:r>
        <w:t xml:space="preserve"> Собрание законодательства Российской Федерации, 2001, N 44, ст. 4147; 2018, N 27, ст. 3947.</w:t>
      </w:r>
    </w:p>
    <w:p w:rsidR="004D4CF0" w:rsidRDefault="00AE24D9">
      <w:pPr>
        <w:pStyle w:val="a7"/>
      </w:pPr>
      <w:bookmarkStart w:id="38" w:name="sub_11112"/>
      <w:bookmarkEnd w:id="37"/>
      <w:r>
        <w:rPr>
          <w:vertAlign w:val="superscript"/>
        </w:rPr>
        <w:t>2</w:t>
      </w:r>
      <w:r>
        <w:t xml:space="preserve"> Собрание законодательства Российской Федерации, 2016, N 1, ст. 51.</w:t>
      </w:r>
    </w:p>
    <w:p w:rsidR="004D4CF0" w:rsidRDefault="00AE24D9">
      <w:pPr>
        <w:pStyle w:val="a7"/>
      </w:pPr>
      <w:bookmarkStart w:id="39" w:name="sub_11113"/>
      <w:bookmarkEnd w:id="38"/>
      <w:r>
        <w:rPr>
          <w:vertAlign w:val="superscript"/>
        </w:rPr>
        <w:t>3</w:t>
      </w:r>
      <w:r>
        <w:t xml:space="preserve"> Собрание законодательства Российской Федерации, 2006, N 50, ст. 5278; 2021, N 27 ст. 5131.</w:t>
      </w:r>
    </w:p>
    <w:p w:rsidR="004D4CF0" w:rsidRDefault="00AE24D9">
      <w:pPr>
        <w:pStyle w:val="a7"/>
      </w:pPr>
      <w:bookmarkStart w:id="40" w:name="sub_11114"/>
      <w:bookmarkEnd w:id="39"/>
      <w:r>
        <w:rPr>
          <w:vertAlign w:val="superscript"/>
        </w:rPr>
        <w:t>4</w:t>
      </w:r>
      <w:r>
        <w:t xml:space="preserve"> Собрание законодательства Российской Федерации, 2002, N 2, ст. 133; 2014, N 11, ст. 1092.</w:t>
      </w:r>
    </w:p>
    <w:p w:rsidR="004D4CF0" w:rsidRDefault="00AE24D9">
      <w:pPr>
        <w:pStyle w:val="a7"/>
      </w:pPr>
      <w:bookmarkStart w:id="41" w:name="sub_11115"/>
      <w:bookmarkEnd w:id="40"/>
      <w:r>
        <w:rPr>
          <w:vertAlign w:val="superscript"/>
        </w:rPr>
        <w:t>5</w:t>
      </w:r>
      <w:r>
        <w:t xml:space="preserve"> Собрание законодательства Российской Федерации, 2001, N 26, ст. 2582; </w:t>
      </w:r>
      <w:r>
        <w:t>2008, N 30, ст. 3616.</w:t>
      </w:r>
    </w:p>
    <w:p w:rsidR="004D4CF0" w:rsidRDefault="00AE24D9">
      <w:pPr>
        <w:pStyle w:val="a7"/>
      </w:pPr>
      <w:bookmarkStart w:id="42" w:name="sub_11116"/>
      <w:bookmarkEnd w:id="41"/>
      <w:r>
        <w:rPr>
          <w:vertAlign w:val="superscript"/>
        </w:rPr>
        <w:t>6</w:t>
      </w:r>
      <w:r>
        <w:t xml:space="preserve"> Собрание законодательства Российской Федерации, 2013, N 33, ст. 4383; 2018, N 50, ст. 7766.</w:t>
      </w:r>
    </w:p>
    <w:bookmarkEnd w:id="42"/>
    <w:p w:rsidR="004D4CF0" w:rsidRDefault="004D4CF0">
      <w:pPr>
        <w:rPr>
          <w:rStyle w:val="a4"/>
        </w:rPr>
      </w:pPr>
    </w:p>
    <w:sectPr w:rsidR="004D4CF0" w:rsidSect="00AE7A30">
      <w:footerReference w:type="default" r:id="rId25"/>
      <w:pgSz w:w="11900" w:h="16800"/>
      <w:pgMar w:top="851" w:right="800" w:bottom="1440" w:left="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D9" w:rsidRDefault="00AE24D9">
      <w:r>
        <w:separator/>
      </w:r>
    </w:p>
  </w:endnote>
  <w:endnote w:type="continuationSeparator" w:id="0">
    <w:p w:rsidR="00AE24D9" w:rsidRDefault="00AE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1"/>
      <w:gridCol w:w="3432"/>
      <w:gridCol w:w="3432"/>
    </w:tblGrid>
    <w:tr w:rsidR="004D4CF0">
      <w:tc>
        <w:tcPr>
          <w:tcW w:w="343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4CF0" w:rsidRDefault="004D4CF0">
          <w:pPr>
            <w:pStyle w:val="af4"/>
          </w:pPr>
        </w:p>
      </w:tc>
      <w:tc>
        <w:tcPr>
          <w:tcW w:w="343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4CF0" w:rsidRDefault="004D4CF0">
          <w:pPr>
            <w:pStyle w:val="af4"/>
            <w:jc w:val="center"/>
          </w:pPr>
        </w:p>
      </w:tc>
      <w:tc>
        <w:tcPr>
          <w:tcW w:w="343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D4CF0" w:rsidRDefault="004D4CF0">
          <w:pPr>
            <w:pStyle w:val="af4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D9" w:rsidRDefault="00AE24D9">
      <w:r>
        <w:separator/>
      </w:r>
    </w:p>
  </w:footnote>
  <w:footnote w:type="continuationSeparator" w:id="0">
    <w:p w:rsidR="00AE24D9" w:rsidRDefault="00AE2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CF0"/>
    <w:rsid w:val="004D4CF0"/>
    <w:rsid w:val="00AE24D9"/>
    <w:rsid w:val="00A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F51D"/>
  <w15:docId w15:val="{3D886DF7-BD49-4B3C-A827-1C101632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Цветовое выделение для Текст"/>
    <w:link w:val="a4"/>
    <w:rPr>
      <w:rFonts w:ascii="Times New Roman CYR" w:hAnsi="Times New Roman CYR"/>
      <w:sz w:val="24"/>
    </w:rPr>
  </w:style>
  <w:style w:type="character" w:customStyle="1" w:styleId="a4">
    <w:name w:val="Цветовое выделение для Текст"/>
    <w:link w:val="a3"/>
    <w:rPr>
      <w:rFonts w:ascii="Times New Roman CYR" w:hAnsi="Times New Roman CYR"/>
      <w:sz w:val="24"/>
    </w:rPr>
  </w:style>
  <w:style w:type="paragraph" w:customStyle="1" w:styleId="a5">
    <w:name w:val="Таблицы (моноширинный)"/>
    <w:basedOn w:val="a"/>
    <w:next w:val="a"/>
    <w:link w:val="a6"/>
    <w:pPr>
      <w:ind w:firstLine="0"/>
      <w:jc w:val="left"/>
    </w:pPr>
    <w:rPr>
      <w:rFonts w:ascii="Courier New" w:hAnsi="Courier New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a7"/>
  </w:style>
  <w:style w:type="paragraph" w:customStyle="1" w:styleId="a7">
    <w:name w:val="Сноска"/>
    <w:basedOn w:val="a"/>
    <w:next w:val="a"/>
    <w:link w:val="a8"/>
    <w:rPr>
      <w:sz w:val="20"/>
    </w:rPr>
  </w:style>
  <w:style w:type="character" w:customStyle="1" w:styleId="a8">
    <w:name w:val="Сноска"/>
    <w:basedOn w:val="1"/>
    <w:link w:val="a7"/>
    <w:rPr>
      <w:rFonts w:ascii="Times New Roman CYR" w:hAnsi="Times New Roman CYR"/>
      <w:sz w:val="20"/>
    </w:rPr>
  </w:style>
  <w:style w:type="paragraph" w:customStyle="1" w:styleId="a9">
    <w:name w:val="Цветовое выделение"/>
    <w:basedOn w:val="a3"/>
    <w:link w:val="aa"/>
    <w:rPr>
      <w:rFonts w:ascii="Times New Roman" w:hAnsi="Times New Roman"/>
      <w:b/>
      <w:color w:val="26282F"/>
      <w:sz w:val="20"/>
    </w:rPr>
  </w:style>
  <w:style w:type="character" w:customStyle="1" w:styleId="aa">
    <w:name w:val="Цветовое выделение"/>
    <w:basedOn w:val="a4"/>
    <w:link w:val="a9"/>
    <w:rPr>
      <w:rFonts w:ascii="Times New Roman" w:hAnsi="Times New Roman"/>
      <w:b/>
      <w:color w:val="26282F"/>
      <w:sz w:val="20"/>
    </w:rPr>
  </w:style>
  <w:style w:type="paragraph" w:customStyle="1" w:styleId="ab">
    <w:name w:val="Прижатый влево"/>
    <w:basedOn w:val="a"/>
    <w:next w:val="a"/>
    <w:link w:val="ac"/>
    <w:pPr>
      <w:ind w:firstLine="0"/>
      <w:jc w:val="left"/>
    </w:pPr>
  </w:style>
  <w:style w:type="character" w:customStyle="1" w:styleId="ac">
    <w:name w:val="Прижатый влево"/>
    <w:basedOn w:val="1"/>
    <w:link w:val="ab"/>
    <w:rPr>
      <w:rFonts w:ascii="Times New Roman CYR" w:hAnsi="Times New Roman CYR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Гипертекстовая ссылка"/>
    <w:basedOn w:val="a9"/>
    <w:link w:val="ae"/>
    <w:rPr>
      <w:b w:val="0"/>
      <w:color w:val="106BBE"/>
    </w:rPr>
  </w:style>
  <w:style w:type="character" w:customStyle="1" w:styleId="ae">
    <w:name w:val="Гипертекстовая ссылка"/>
    <w:basedOn w:val="aa"/>
    <w:link w:val="ad"/>
    <w:rPr>
      <w:rFonts w:ascii="Times New Roman" w:hAnsi="Times New Roman"/>
      <w:b w:val="0"/>
      <w:color w:val="106BBE"/>
      <w:sz w:val="20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0">
    <w:name w:val="header"/>
    <w:basedOn w:val="a"/>
    <w:next w:val="a"/>
    <w:link w:val="af1"/>
    <w:pPr>
      <w:ind w:firstLine="0"/>
      <w:jc w:val="center"/>
    </w:pPr>
    <w:rPr>
      <w:rFonts w:ascii="Times New Roman" w:hAnsi="Times New Roman"/>
      <w:sz w:val="20"/>
    </w:r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2">
    <w:name w:val="Нормальный (таблица)"/>
    <w:basedOn w:val="a"/>
    <w:next w:val="a"/>
    <w:link w:val="af3"/>
    <w:pPr>
      <w:ind w:firstLine="0"/>
    </w:pPr>
  </w:style>
  <w:style w:type="character" w:customStyle="1" w:styleId="af3">
    <w:name w:val="Нормальный (таблица)"/>
    <w:basedOn w:val="1"/>
    <w:link w:val="af2"/>
    <w:rPr>
      <w:rFonts w:ascii="Times New Roman CYR" w:hAnsi="Times New Roman CYR"/>
      <w:sz w:val="24"/>
    </w:rPr>
  </w:style>
  <w:style w:type="paragraph" w:styleId="af4">
    <w:name w:val="footer"/>
    <w:basedOn w:val="a"/>
    <w:next w:val="a"/>
    <w:link w:val="af5"/>
    <w:pPr>
      <w:ind w:firstLine="0"/>
      <w:jc w:val="left"/>
    </w:pPr>
    <w:rPr>
      <w:rFonts w:ascii="Times New Roman" w:hAnsi="Times New Roman"/>
      <w:sz w:val="20"/>
    </w:r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sz w:val="20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7669/5113" TargetMode="External"/><Relationship Id="rId13" Type="http://schemas.openxmlformats.org/officeDocument/2006/relationships/hyperlink" Target="https://internet.garant.ru/document/redirect/12124624/7" TargetMode="External"/><Relationship Id="rId18" Type="http://schemas.openxmlformats.org/officeDocument/2006/relationships/hyperlink" Target="https://internet.garant.ru/document/redirect/12124624/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12125350/631" TargetMode="External"/><Relationship Id="rId7" Type="http://schemas.openxmlformats.org/officeDocument/2006/relationships/hyperlink" Target="https://internet.garant.ru/document/redirect/12167669/1001" TargetMode="External"/><Relationship Id="rId12" Type="http://schemas.openxmlformats.org/officeDocument/2006/relationships/hyperlink" Target="https://internet.garant.ru/document/redirect/70869020/0" TargetMode="External"/><Relationship Id="rId17" Type="http://schemas.openxmlformats.org/officeDocument/2006/relationships/hyperlink" Target="https://internet.garant.ru/document/redirect/12184522/21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https://internet.garant.ru/document/redirect/12124624/2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24624/675" TargetMode="External"/><Relationship Id="rId11" Type="http://schemas.openxmlformats.org/officeDocument/2006/relationships/hyperlink" Target="https://internet.garant.ru/document/redirect/12167669/0" TargetMode="External"/><Relationship Id="rId24" Type="http://schemas.openxmlformats.org/officeDocument/2006/relationships/hyperlink" Target="https://internet.garant.ru/document/redirect/990941/3968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50845/91" TargetMode="External"/><Relationship Id="rId23" Type="http://schemas.openxmlformats.org/officeDocument/2006/relationships/hyperlink" Target="https://internet.garant.ru/document/redirect/70430724/0" TargetMode="External"/><Relationship Id="rId10" Type="http://schemas.openxmlformats.org/officeDocument/2006/relationships/hyperlink" Target="https://internet.garant.ru/document/redirect/12167669/526720" TargetMode="External"/><Relationship Id="rId19" Type="http://schemas.openxmlformats.org/officeDocument/2006/relationships/hyperlink" Target="https://internet.garant.ru/document/redirect/12124624/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67669/5267" TargetMode="External"/><Relationship Id="rId14" Type="http://schemas.openxmlformats.org/officeDocument/2006/relationships/hyperlink" Target="https://internet.garant.ru/document/redirect/71295988/20" TargetMode="External"/><Relationship Id="rId22" Type="http://schemas.openxmlformats.org/officeDocument/2006/relationships/hyperlink" Target="https://internet.garant.ru/document/redirect/12123351/2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2457</Words>
  <Characters>14007</Characters>
  <Application>Microsoft Office Word</Application>
  <DocSecurity>0</DocSecurity>
  <Lines>116</Lines>
  <Paragraphs>32</Paragraphs>
  <ScaleCrop>false</ScaleCrop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GIBADULLINRR</cp:lastModifiedBy>
  <cp:revision>2</cp:revision>
  <dcterms:created xsi:type="dcterms:W3CDTF">2025-01-24T11:14:00Z</dcterms:created>
  <dcterms:modified xsi:type="dcterms:W3CDTF">2025-01-24T11:15:00Z</dcterms:modified>
</cp:coreProperties>
</file>