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Президента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РФ от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23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июня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2014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 г. N 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460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  <w:t xml:space="preserve">"Об утверждении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формы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справки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доходах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расходах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, об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имуществе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обязательствах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имущественного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характера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и внесении изменений в 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</w:rPr>
        <w:t xml:space="preserve">некоторые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акты Президента Российской Федерации"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федеральными законами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25 декабря 2008 г. N 273-ФЗ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"О противодействии коррупции"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3 декабря 2012 г. N 230-ФЗ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"О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контроле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 постановляю: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Утвердить прилагаемую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справки о доходах, расходах, об имуществе и обязательствах имущественного характера.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 2 изменен с 1 июля 2020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15 января 2020 г. N 13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предыдущую редакцию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справки, утвержденной настоящим Указом, заполненной с использованием специального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программного обеспечения "Справки БК", размещенного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Федерации, ссылка на который также размещается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справку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порядке представления должностными лицами и гражданами, претендующими на замещение должностей федеральной государственной службы и приравненным к ним, сведений о доходах, об имуществе и обязательствах имущественного характера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 от 18 мая 2009 г. N 558 "О представлении гражданами, претендующими на замещение государственных должностей 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 21, ст. 2543; 2010, N 3, ст. 274;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2012, N 12, ст. 1391; 2013, N 40, ст. 5044; N 49, ст. 6399) 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представле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подпункты "б" - "и" пункта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признать утратившими силу;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пункт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"2.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федеральными конституционными законами или федеральными законами для них не установлены иные порядок и форма представления указанных сведений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пункт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подпункте "б" пункта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втором пункта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 от 18 мая 2009 г. N 559 "О представлении гражданами, претендующими на замещение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 21, ст. 2544; 2010, N 3, ст. 274;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2012, N 12, ст. 1391; 2013, N 14, ст. 1670; N 40, ст. 5044; N 49, ст. 6399) 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подпункты "б" - 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" пункта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признать утратившими силу;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пункт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сотрудниках которых относятся к государственной тайне, представляют сведения о доходах, об имуществе и обязательствах имущественного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абзаце первом пункта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 от 18 мая 2009 г. N 560 "О представлении гражданами, претендующими на замещение руководящих должностей в государственных корпорациях, фондах и иных орган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 21, ст. 2545;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2013, N 40, ст. 5044) изменение, изложив </w:t>
      </w:r>
      <w:hyperlink r:id="rId8" w:tooltip="https://internet.garant.ru/#/document/195555/entry/1" w:anchor="/document/195555/entry/1" w:history="1">
        <w:r>
          <w:rPr>
            <w:rFonts w:ascii="Times New Roman" w:hAnsi="Times New Roman" w:eastAsia="Times New Roman" w:cs="Times New Roman"/>
            <w:sz w:val="28"/>
            <w:szCs w:val="28"/>
            <w:u w:val="single"/>
          </w:rPr>
          <w:t xml:space="preserve">абзац первый пункта 1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ельствах имущественного характера своих супруги (супруга) и несовершеннолетних детей в соответствии с Положением, утвержденным Указом Президента Российской Федерации от 18 мая 2009 г. N 559 "О представлении гражданами, претендующими на замещение должностей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:"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 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 апреля 2013 г. N 309 "О мерах по реализации отдельных положений Федерального закона "О противодействии коррупции" (Собрание законодательства Российской Федерации, 2013, N 14, ст. 1670; N 23, ст. 2892; N 28, ст. 3813; N 49, ст. 6399)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 первый пункта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дополнить словами "по утвержденной Президентом Российской Федерации форме справки";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которой утверждена Президентом Российской Федерации.".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 от 2 апреля 2013 г. N 310 "О мерах по реализации отдельных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 14, ст. 1671; N 28, ст. 3813; N 49, ст. 6399) следующие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дополнить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 9.1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"9.1. Установить, что сведения, предусмотренные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татьей 3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которой утверждена Президентом Российской Федерации.".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Настоящий Указ вступает в силу с 1 января 2015 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5000" w:type="pct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6942"/>
        <w:gridCol w:w="3495"/>
      </w:tblGrid>
      <w:tr>
        <w:tblPrEx/>
        <w:trPr>
          <w:tblCellSpacing w:w="15" w:type="dxa"/>
        </w:trPr>
        <w:tc>
          <w:tcPr>
            <w:tcW w:w="3300" w:type="pct"/>
            <w:vAlign w:val="bottom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Президент Российской Федерации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650" w:type="pct"/>
            <w:vAlign w:val="bottom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В. Путин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Кремль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23 июня 2014 года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N 460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Справка изменена с 25 января 2024 г.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России от 25 января 2024 г. N 71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См. предыдущую редакцию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Обзор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типичных ошибок, допускаемых при заполнении справок о доходах, расходах, об имуществе и обязательствах имущественного характера (подготовлен Минфином России, май 2023 г.)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заполнении формы справки в 2024 г. (за отчетный 2023 г.) см.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Методические рекомендации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направленные Минтрудом России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См. данную форму в редакторах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MS-Word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MS-Excel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УТВЕРЖДЕНА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от 23 июня 2014 г. N 460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(с изменениями от 19 сентября,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9 октября 2017 г.,15 января,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10 декабря 2020 г., 18 июля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2022 г., 25 января 2024 г.)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В___________________________________________________________________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(указывается наименование кадрового подразделения федерального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государственного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органа или организации)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СПРАВКА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*(1)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о доходах, расходах, об имуществе и обязательствах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имущественного характера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*(2)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Я,_______________________________________________________________________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(фамилия, имя, отчество (при наличии), дата рождения, серия 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номер паспорта, дата выдачи и орган, выдавший паспорт, страховой номер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индивидуального лицевого счета (при наличии))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(место работы (службы), занимаемая (замещаемая) должность;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в случае отсутствия основного места работы (службы) - род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занятий; должность, на замещение которой претендует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гражданин (если применимо)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зарегистрированный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адресу: __________________________________________,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(адрес места регистрации)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сообщаю   сведения  о  доходах,  расходах   своих,   супруги   (супруга),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несовершеннолетнего ребенка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нужное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подчеркнуть)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(фамилия, имя, отчество (при наличии) в именительном падеже, дата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рождения, серия и номер паспорта или свидетельства о рождении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(для несовершеннолетнего ребенка, не имеющего паспорта), дата выдачи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и орган, выдавший документ, страховой номер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индивидуального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лицевого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счета (при наличии))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(адрес места регистрации, основное место работы (службы), занимаемая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(замещаемая) должность)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(в случае отсутствия основного места работы (службы) - род занятий)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  отчетный  период  с  1  января 20__  г. по 31 декабря 20__  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имуществе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принадлежащем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(фамилия, имя, отчество)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праве собственности,  о вкладах   в   банках,   ценных   бумагах,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обязательствах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имущественного характера по состоянию на"__"_________20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*(1) Заполняется с использованием специального программного обеспечения "Справки БК", размещенного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Президента Российской Федерации, ссылка на который также размещается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федеральной государстве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*(2) Сведения представляются лиц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1. Сведения о доходах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020" w:type="dxa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93"/>
        <w:gridCol w:w="6619"/>
        <w:gridCol w:w="2308"/>
      </w:tblGrid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 дохода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Величина дохода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 </w:t>
            </w:r>
            <w:hyperlink r:id="rId9" w:tooltip="https://internet.garant.ru/#/document/70681384/entry/1663" w:anchor="/document/70681384/entry/1663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u w:val="single"/>
                  <w:vertAlign w:val="superscript"/>
                </w:rPr>
                <w:t xml:space="preserve">2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(руб.)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Доход по основному месту работы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Доход от педагогической и научной 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Доход от иной творческой 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Доход от вкладов в банках и иных кредитных организациях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Доход от ценных бумаг и долей участия в коммерческих организациях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Иные доходы (указать вид дохода)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 </w:t>
            </w:r>
            <w:hyperlink r:id="rId10" w:tooltip="https://internet.garant.ru/#/document/70681384/entry/11013" w:anchor="/document/70681384/entry/11013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u w:val="single"/>
                  <w:vertAlign w:val="superscript"/>
                </w:rPr>
                <w:t xml:space="preserve">3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5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60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Итого доход за отчетный период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──────────────────────────────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казываются доходы (включая пенсии, пособия, иные выплаты) за отчетный период.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Доход, полученный в иностранной валюте, указывается в рублях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курсу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Банка России на дату получения дохода. Доход, получе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──────────────────────────────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2. Сведения о расходах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170" w:type="dxa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10"/>
        <w:gridCol w:w="2670"/>
        <w:gridCol w:w="1395"/>
        <w:gridCol w:w="2640"/>
        <w:gridCol w:w="2355"/>
      </w:tblGrid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4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Вид приобретенного имущества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Сумма сделки (руб.)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Основание приобретения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 </w:t>
            </w:r>
            <w:hyperlink r:id="rId11" w:tooltip="https://internet.garant.ru/#/document/70681384/entry/1662" w:anchor="/document/70681384/entry/1662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u w:val="single"/>
                  <w:vertAlign w:val="superscript"/>
                </w:rPr>
                <w:t xml:space="preserve">2</w:t>
              </w:r>
            </w:hyperlink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4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4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Земельные участки: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4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Иное недвижимое имущество: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4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Транспортные средства: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4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Ценные бумаги: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4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Цифровые финансовые активы: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4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Цифровая валюта: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6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310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──────────────────────────────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Сведения о расходах представляются в случаях, установленных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статьей 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3 декабря 2012 г. N 230-ФЗ "О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контроле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отношении цифровых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отношении цифровой валюты в качестве основания приобретения указываются идентификационный номер и дата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транзакции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прикладывается выписка о транзакции при ее наличии по применимому праву.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о второй стороне сделки.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──────────────────────────────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050" w:type="dxa"/>
        <w:tblCellSpacing w:w="15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49"/>
        <w:gridCol w:w="30"/>
        <w:gridCol w:w="3314"/>
        <w:gridCol w:w="30"/>
        <w:gridCol w:w="2533"/>
        <w:gridCol w:w="30"/>
        <w:gridCol w:w="3283"/>
        <w:gridCol w:w="81"/>
      </w:tblGrid>
      <w:tr>
        <w:tblPrEx/>
        <w:trPr>
          <w:tblCellSpacing w:w="15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1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Иное недвижимое имущество: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3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1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1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Транспортные средства: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3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1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1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Ценные бумаги: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3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1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3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1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Цифровые финансовые активы: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3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1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1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Цифровые права, включающие одновременно цифровые финансовые активы и иные цифровые права: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3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8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1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Утилитарные цифровые права: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3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8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blCellSpacing w:w="15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1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Цифровая валюта: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3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85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──────────────────────────────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──────────────────────────────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Достоверность и полноту настоящих сведений подтверждаю.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"____"___________20___г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(подпись лица, представляющего сведения)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(Ф.И.О. и подпись лица, принявшего справку)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8" w:right="850" w:bottom="1134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9"/>
    <w:link w:val="618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4"/>
    <w:basedOn w:val="617"/>
    <w:link w:val="622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4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23" w:customStyle="1">
    <w:name w:val="s_3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4">
    <w:name w:val="Emphasis"/>
    <w:basedOn w:val="619"/>
    <w:uiPriority w:val="20"/>
    <w:qFormat/>
    <w:rPr>
      <w:i/>
      <w:iCs/>
    </w:rPr>
  </w:style>
  <w:style w:type="paragraph" w:styleId="625" w:customStyle="1">
    <w:name w:val="s_1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6">
    <w:name w:val="Hyperlink"/>
    <w:basedOn w:val="619"/>
    <w:uiPriority w:val="99"/>
    <w:semiHidden/>
    <w:unhideWhenUsed/>
    <w:rPr>
      <w:color w:val="0000ff"/>
      <w:u w:val="single"/>
    </w:rPr>
  </w:style>
  <w:style w:type="paragraph" w:styleId="627" w:customStyle="1">
    <w:name w:val="s_22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28" w:customStyle="1">
    <w:name w:val="s_9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29" w:customStyle="1">
    <w:name w:val="s_16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0" w:customStyle="1">
    <w:name w:val="empty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31">
    <w:name w:val="HTML Preformatted"/>
    <w:basedOn w:val="617"/>
    <w:link w:val="632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character" w:styleId="632" w:customStyle="1">
    <w:name w:val="Стандартный HTML Знак"/>
    <w:basedOn w:val="619"/>
    <w:link w:val="631"/>
    <w:uiPriority w:val="99"/>
    <w:semiHidden/>
    <w:rPr>
      <w:rFonts w:ascii="Courier New" w:hAnsi="Courier New" w:eastAsia="Times New Roman" w:cs="Courier New"/>
      <w:sz w:val="20"/>
      <w:szCs w:val="20"/>
    </w:rPr>
  </w:style>
  <w:style w:type="character" w:styleId="633" w:customStyle="1">
    <w:name w:val="s_10"/>
    <w:basedOn w:val="619"/>
  </w:style>
  <w:style w:type="character" w:styleId="634" w:customStyle="1">
    <w:name w:val="s_11"/>
    <w:basedOn w:val="619"/>
  </w:style>
  <w:style w:type="paragraph" w:styleId="635" w:customStyle="1">
    <w:name w:val="s_91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MiftakhovaIR</dc:creator>
  <cp:keywords/>
  <dc:description/>
  <cp:revision>3</cp:revision>
  <dcterms:created xsi:type="dcterms:W3CDTF">2024-06-26T07:26:00Z</dcterms:created>
  <dcterms:modified xsi:type="dcterms:W3CDTF">2025-01-24T07:46:42Z</dcterms:modified>
</cp:coreProperties>
</file>