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4"/>
        </w:rPr>
        <w:t xml:space="preserve">Федеральный закон </w:t>
      </w:r>
      <w:r>
        <w:rPr>
          <w:rFonts w:ascii="Times New Roman" w:hAnsi="Times New Roman" w:eastAsia="Times New Roman" w:cs="Times New Roman"/>
          <w:color w:val="000000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34"/>
        </w:rPr>
        <w:t xml:space="preserve"> 25 декабря 2008</w:t>
      </w:r>
      <w:r>
        <w:rPr>
          <w:rFonts w:ascii="Times New Roman" w:hAnsi="Times New Roman" w:eastAsia="Times New Roman" w:cs="Times New Roman"/>
          <w:color w:val="000000"/>
        </w:rPr>
        <w:t xml:space="preserve"> г. N </w:t>
      </w:r>
      <w:r>
        <w:rPr>
          <w:rFonts w:ascii="Times New Roman" w:hAnsi="Times New Roman" w:eastAsia="Times New Roman" w:cs="Times New Roman"/>
          <w:color w:val="000000"/>
          <w:sz w:val="34"/>
        </w:rPr>
        <w:t xml:space="preserve">273</w:t>
      </w:r>
      <w:r>
        <w:rPr>
          <w:rFonts w:ascii="Times New Roman" w:hAnsi="Times New Roman" w:eastAsia="Times New Roman" w:cs="Times New Roman"/>
          <w:color w:val="000000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34"/>
        </w:rPr>
        <w:t xml:space="preserve">ФЗ</w:t>
        <w:br/>
      </w:r>
      <w:r>
        <w:rPr>
          <w:rFonts w:ascii="Times New Roman" w:hAnsi="Times New Roman" w:eastAsia="Times New Roman" w:cs="Times New Roman"/>
          <w:color w:val="000000"/>
        </w:rPr>
        <w:t xml:space="preserve">"О</w:t>
      </w:r>
      <w:r>
        <w:rPr>
          <w:rFonts w:ascii="Times New Roman" w:hAnsi="Times New Roman" w:eastAsia="Times New Roman" w:cs="Times New Roman"/>
          <w:color w:val="000000"/>
          <w:sz w:val="34"/>
        </w:rPr>
        <w:t xml:space="preserve"> противодействии коррупции</w:t>
      </w:r>
      <w:r>
        <w:rPr>
          <w:rFonts w:ascii="Times New Roman" w:hAnsi="Times New Roman" w:eastAsia="Times New Roman" w:cs="Times New Roman"/>
          <w:color w:val="000000"/>
        </w:rPr>
        <w:t xml:space="preserve">"</w:t>
      </w:r>
      <w:r/>
    </w:p>
    <w:p>
      <w:pPr>
        <w:pStyle w:val="660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272c0"/>
          <w:sz w:val="21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Принят Государственной Думой 19 декабря 2008 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Одобрен Советом Федерации 22 декабря 2008 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1. Основные понятия, используемые в настоящем Федеральном законе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целей настоящего Федерального закона используются следующие основные понятия: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коррупция: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совершение деяний, указанных в подпункте "а" настоящего пункта, от имени или в интересах юридического лица;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противодействие коррупции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по минимизации и (или) ликвидации последствий коррупционных правонарушений.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нормативные правовые акты Российской Федерации: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органов исполнительной власти и иных федеральных органов);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законы и иные нормативные правовые акты органов государственной власти субъектов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муниципальные правовые акты;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функции государственного, муниципального (административного) управления организацией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2. Правовая основа противодействия коррупции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Правовую основу противодействия коррупции составляют </w:t>
      </w:r>
      <w:r>
        <w:rPr>
          <w:rFonts w:ascii="Times New Roman" w:hAnsi="Times New Roman" w:eastAsia="Times New Roman" w:cs="Times New Roman"/>
          <w:sz w:val="24"/>
        </w:rPr>
        <w:t xml:space="preserve">Конституция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ниципальные правовые акты.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3. Основные принципы противодействия коррупции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eastAsia="Times New Roman" w:cs="Times New Roman"/>
          <w:sz w:val="24"/>
        </w:rPr>
        <w:t xml:space="preserve">Противодействие коррупции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в Российской Федерации основывается на следующих основных принципах: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признание, обеспечение и защита основных прав и свобод человека и гражданина;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законность;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публичность и открытость деятельности государственных органов и органов местного самоуправления;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неотвратимость ответственности за совершение коррупционных правонарушений;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приоритетное применение мер по предупреждению коррупции;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сотрудничество государства с институтами гражданского общества, международными организациями и физическими лицами.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4. Международное сотрудничество Российской Федерации в области противодействия коррупции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бами, а также с международными организациями в целях: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выявления имущества, полученного в результате совершения коррупционных правонарушений или служащего средством их совершения;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предоставления в надлежащих случаях предметов или образцов веществ для проведения исследований или судебных экспертиз;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обмена информацией по вопросам противодействия коррупции;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координации деятельности по профилактике коррупции и борьбе с коррупцией.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в случаях и порядке, предусмотренных международными договорами Российской Федерации и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5. Организационные основы противодействия коррупции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Президент Российской Федерации: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определяет основные направления государственной политики в области </w:t>
      </w:r>
      <w:r>
        <w:rPr>
          <w:rFonts w:ascii="Times New Roman" w:hAnsi="Times New Roman" w:eastAsia="Times New Roman" w:cs="Times New Roman"/>
          <w:sz w:val="24"/>
        </w:rPr>
        <w:t xml:space="preserve">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Федеральные органы государственной власти, органы государственной власти субъектов Российской Федерации и органы местного самоуправления </w:t>
      </w:r>
      <w:r>
        <w:rPr>
          <w:rFonts w:ascii="Times New Roman" w:hAnsi="Times New Roman" w:eastAsia="Times New Roman" w:cs="Times New Roman"/>
          <w:sz w:val="24"/>
        </w:rPr>
        <w:t xml:space="preserve">осуществляют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противодействие коррупции в пределах своих полномочий.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законом порядке.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Генеральный прокурор Российской Федерации и подчиненные ему прокуроры в пределах своих </w:t>
      </w:r>
      <w:r>
        <w:rPr>
          <w:rFonts w:ascii="Times New Roman" w:hAnsi="Times New Roman" w:eastAsia="Times New Roman" w:cs="Times New Roman"/>
          <w:sz w:val="24"/>
        </w:rPr>
        <w:t xml:space="preserve">полномочий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одействия коррупции, установленные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Счетная палата Российской Федерации в пределах своих полномочий обеспечивает </w:t>
      </w:r>
      <w:r>
        <w:rPr>
          <w:rFonts w:ascii="Times New Roman" w:hAnsi="Times New Roman" w:eastAsia="Times New Roman" w:cs="Times New Roman"/>
          <w:sz w:val="24"/>
        </w:rPr>
        <w:t xml:space="preserve">противодействие коррупции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в соответствии с </w:t>
      </w:r>
      <w:r>
        <w:rPr>
          <w:rFonts w:ascii="Times New Roman" w:hAnsi="Times New Roman" w:eastAsia="Times New Roman" w:cs="Times New Roman"/>
          <w:sz w:val="24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от 5 апреля 2013 года N 41-ФЗ "О Счетной палате Российской Федерации".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6. Меры по профилактике коррупции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Профилактика </w:t>
      </w:r>
      <w:r>
        <w:rPr>
          <w:rFonts w:ascii="Times New Roman" w:hAnsi="Times New Roman" w:eastAsia="Times New Roman" w:cs="Times New Roman"/>
          <w:sz w:val="24"/>
        </w:rPr>
        <w:t xml:space="preserve">коррупции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осуществляется путем применения следующих основных мер: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формирование в обществе нетерпимости к коррупционному поведению;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</w:t>
      </w:r>
      <w:r>
        <w:rPr>
          <w:rFonts w:ascii="Times New Roman" w:hAnsi="Times New Roman" w:eastAsia="Times New Roman" w:cs="Times New Roman"/>
          <w:sz w:val="24"/>
        </w:rPr>
        <w:t xml:space="preserve">антикоррупционная экспертиза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правовых актов и их проектов;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2.1) </w:t>
      </w:r>
      <w:r>
        <w:rPr>
          <w:rFonts w:ascii="Times New Roman" w:hAnsi="Times New Roman" w:eastAsia="Times New Roman" w:cs="Times New Roman"/>
          <w:sz w:val="24"/>
        </w:rPr>
        <w:t xml:space="preserve">рассмотрение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предъявление в установленном законом порядке </w:t>
      </w:r>
      <w:r>
        <w:rPr>
          <w:rFonts w:ascii="Times New Roman" w:hAnsi="Times New Roman" w:eastAsia="Times New Roman" w:cs="Times New Roman"/>
          <w:sz w:val="24"/>
        </w:rPr>
        <w:t xml:space="preserve">квалификационных требований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сведений, представляемых указанными гражданами;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 </w:t>
      </w:r>
      <w:r>
        <w:rPr>
          <w:rFonts w:ascii="Times New Roman" w:hAnsi="Times New Roman" w:eastAsia="Times New Roman" w:cs="Times New Roman"/>
          <w:sz w:val="24"/>
        </w:rPr>
        <w:t xml:space="preserve">нормативными правовыми актами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 представления заведомо неполных сведений, за исключением случаев, ус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льствах имущественного характера своих супруги (супруга) и несовершеннолетних детей;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или при его поощрении;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7. Основные направления деятельности государственных органов по повышению эффективности противодействия коррупции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Основными направлениями деятельности государственных органов по повышению эффективности </w:t>
      </w:r>
      <w:r>
        <w:rPr>
          <w:rFonts w:ascii="Times New Roman" w:hAnsi="Times New Roman" w:eastAsia="Times New Roman" w:cs="Times New Roman"/>
          <w:sz w:val="24"/>
        </w:rPr>
        <w:t xml:space="preserve">противодействия коррупции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проведение единой государственной политики в области противодействия коррупции;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eastAsia="Times New Roman" w:cs="Times New Roman"/>
          <w:sz w:val="24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создание механизма </w:t>
      </w:r>
      <w:r>
        <w:rPr>
          <w:rFonts w:ascii="Times New Roman" w:hAnsi="Times New Roman" w:eastAsia="Times New Roman" w:cs="Times New Roman"/>
          <w:sz w:val="24"/>
        </w:rPr>
        <w:t xml:space="preserve">взаимодействия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ционному поведению;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совершенствование системы и структуры государственных органов, создание механизмов общественного контроля за их деятельностью;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введение антикоррупционных стандартов, то есть </w:t>
      </w:r>
      <w:r>
        <w:rPr>
          <w:rFonts w:ascii="Times New Roman" w:hAnsi="Times New Roman" w:eastAsia="Times New Roman" w:cs="Times New Roman"/>
          <w:sz w:val="24"/>
        </w:rPr>
        <w:t xml:space="preserve">установление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 устанавливаемых для указанных служащих и лиц ограничений, запретов и обязанностей;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обеспечение независимости средств массовой информации;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неукоснительное соблюдение принципов независимости судей и невмешательства в судебную деятельность;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совершенствование организации деятельности правоохранительных и контролирующих органов по противодействию коррупции;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совершенствование порядка прохождения государственной и муниципальной службы;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 устранение необоснованных запретов и ограничений, особенно в области экономической деятельности;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имущества и его отчуждения;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15) повышение уровня оплаты труда и социальной защищенности государственных и муниципальных служащих;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17) усиление контроля за решением вопросов, содержащихся в обращениях граждан и юридических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18) передача части функций государственных органов саморегулируемым организациям, а также иным негосударственным организациям;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7.1.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ыми инструментами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случаях, предусмотренных </w:t>
      </w:r>
      <w:r>
        <w:rPr>
          <w:rFonts w:ascii="Times New Roman" w:hAnsi="Times New Roman" w:eastAsia="Times New Roman" w:cs="Times New Roman"/>
          <w:sz w:val="24"/>
        </w:rPr>
        <w:t xml:space="preserve">Федеральным законом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финансовыми инструментами: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лицам, замещающим (занимающим):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государственные должности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должности первого заместителя и заместителей Генерального прокурора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должности членов Совета директоров Центрального банка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государственные должности субъектов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е) должности заместителей руководителей федеральных органов исполнительной власти;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 </w:t>
      </w:r>
      <w:r>
        <w:rPr>
          <w:rFonts w:ascii="Times New Roman" w:hAnsi="Times New Roman" w:eastAsia="Times New Roman" w:cs="Times New Roman"/>
          <w:sz w:val="24"/>
        </w:rPr>
        <w:t xml:space="preserve">федеральных законов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 </w:t>
      </w:r>
      <w:r>
        <w:rPr>
          <w:rFonts w:ascii="Times New Roman" w:hAnsi="Times New Roman" w:eastAsia="Times New Roman" w:cs="Times New Roman"/>
          <w:sz w:val="24"/>
        </w:rPr>
        <w:t xml:space="preserve">перечни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фондов и иных организаций, созданных Российской Федерацией на основании федеральных законов;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кругов и городских округов;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Под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конфликтом интересов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 </w:t>
      </w:r>
      <w:r>
        <w:rPr>
          <w:rFonts w:ascii="Times New Roman" w:hAnsi="Times New Roman" w:eastAsia="Times New Roman" w:cs="Times New Roman"/>
          <w:sz w:val="24"/>
        </w:rPr>
        <w:t xml:space="preserve">части 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под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личной заинтересованностью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Обязанность принимать меры по предотвращению и урегулированию конфликта интересов возлагается: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на государственных и муниципальных служащих;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страхования,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 на иные категории лиц в случаях, предусмотренных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11. Порядок предотвращения и урегулирования конфликта интересов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Лицо, указанное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обязано принимать меры по недопущению любой возможности возникновения конфликта интересов.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Лицо, указанное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анка Российской Федерации,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ального фонда обязательного медицинского страхования,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Представитель нанимателя, работодатель, иное уполномоченное лицо, указанное в </w:t>
      </w:r>
      <w:r>
        <w:rPr>
          <w:rFonts w:ascii="Times New Roman" w:hAnsi="Times New Roman" w:eastAsia="Times New Roman" w:cs="Times New Roman"/>
          <w:sz w:val="24"/>
        </w:rPr>
        <w:t xml:space="preserve">части 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если им стало известно о возникновении у лица, указанного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Предотвращение и урегулирование конфликта интересов, стороной которого является лицо, указанное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осуществляются путем отвода или самоотвода указанного лица в случаях и порядке, предусмотренных </w:t>
      </w:r>
      <w:r>
        <w:rPr>
          <w:rFonts w:ascii="Times New Roman" w:hAnsi="Times New Roman" w:eastAsia="Times New Roman" w:cs="Times New Roman"/>
          <w:sz w:val="24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Непринятие лицом, указанным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 </w:t>
      </w:r>
      <w:r>
        <w:rPr>
          <w:rFonts w:ascii="Times New Roman" w:hAnsi="Times New Roman" w:eastAsia="Times New Roman" w:cs="Times New Roman"/>
          <w:sz w:val="24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за исключением случаев, установленных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В случае, если лицо, указанное в </w:t>
      </w:r>
      <w:r>
        <w:rPr>
          <w:rFonts w:ascii="Times New Roman" w:hAnsi="Times New Roman" w:eastAsia="Times New Roman" w:cs="Times New Roman"/>
          <w:sz w:val="24"/>
        </w:rPr>
        <w:t xml:space="preserve">части 1 статьи 10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 </w:t>
      </w:r>
      <w:r>
        <w:rPr>
          <w:rFonts w:ascii="Times New Roman" w:hAnsi="Times New Roman" w:eastAsia="Times New Roman" w:cs="Times New Roman"/>
          <w:sz w:val="24"/>
        </w:rPr>
        <w:t xml:space="preserve">передать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принадлежащие ему ценные бумаги (доли участия, паи в уставных (складочных) капиталах организаций) в доверительное управление в соответствии с </w:t>
      </w:r>
      <w:r>
        <w:rPr>
          <w:rFonts w:ascii="Times New Roman" w:hAnsi="Times New Roman" w:eastAsia="Times New Roman" w:cs="Times New Roman"/>
          <w:sz w:val="24"/>
        </w:rPr>
        <w:t xml:space="preserve">гражданским законодательством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11.1.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ы обеспечения деятельности финансового уполномоченного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Служащие Центрального банка 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 </w:t>
      </w:r>
      <w:r>
        <w:rPr>
          <w:rFonts w:ascii="Times New Roman" w:hAnsi="Times New Roman" w:eastAsia="Times New Roman" w:cs="Times New Roman"/>
          <w:sz w:val="24"/>
        </w:rPr>
        <w:t xml:space="preserve">статьями 9-11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привести к конфликту интересов, и принимать меры по недопущению любой возможности возникновения конфликта интересов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язательного медицинского страхования, иных организаций, создаваемых Российской Федерацией на основании федеральных законов.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" w:tooltip="https://internet.garant.ru/#/document/70418480/entry/400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Гражданин, замещавший должность государственной или муниципальной службы, включенную в перечень, установленный </w:t>
      </w:r>
      <w:r>
        <w:rPr>
          <w:rFonts w:ascii="Times New Roman" w:hAnsi="Times New Roman" w:eastAsia="Times New Roman" w:cs="Times New Roman"/>
          <w:sz w:val="24"/>
        </w:rPr>
        <w:t xml:space="preserve">нормативными правовыми актами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тные (служебные) обязанности государственного или муниципального служащего, с согласия соответствующей </w:t>
      </w:r>
      <w:r>
        <w:rPr>
          <w:rFonts w:ascii="Times New Roman" w:hAnsi="Times New Roman" w:eastAsia="Times New Roman" w:cs="Times New Roman"/>
          <w:sz w:val="24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по соблюдению требований к служебному поведению государственных или муниципальных служащих и урегулированию конфликта интересов.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Комиссия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нормативными правовыми актами Российской Федерации, обязана рассмотреть письменное </w:t>
      </w:r>
      <w:r>
        <w:rPr>
          <w:rFonts w:ascii="Times New Roman" w:hAnsi="Times New Roman" w:eastAsia="Times New Roman" w:cs="Times New Roman"/>
          <w:sz w:val="24"/>
        </w:rPr>
        <w:t xml:space="preserve">обращение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Гражданин, замещавший должности государственной или муниципальной службы, перечень которых устанавливается </w:t>
      </w:r>
      <w:r>
        <w:rPr>
          <w:rFonts w:ascii="Times New Roman" w:hAnsi="Times New Roman" w:eastAsia="Times New Roman" w:cs="Times New Roman"/>
          <w:sz w:val="24"/>
        </w:rPr>
        <w:t xml:space="preserve">нормативными правовыми актами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 </w:t>
      </w:r>
      <w:r>
        <w:rPr>
          <w:rFonts w:ascii="Times New Roman" w:hAnsi="Times New Roman" w:eastAsia="Times New Roman" w:cs="Times New Roman"/>
          <w:sz w:val="24"/>
        </w:rPr>
        <w:t xml:space="preserve">части 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сообщать работодателю сведения о последнем месте своей службы.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отренного </w:t>
      </w:r>
      <w:r>
        <w:rPr>
          <w:rFonts w:ascii="Times New Roman" w:hAnsi="Times New Roman" w:eastAsia="Times New Roman" w:cs="Times New Roman"/>
          <w:sz w:val="24"/>
        </w:rPr>
        <w:t xml:space="preserve">частью 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влечет прекращение трудового или гражданско-правового договора на выполнение работ (оказание услуг), указанного в </w:t>
      </w:r>
      <w:r>
        <w:rPr>
          <w:rFonts w:ascii="Times New Roman" w:hAnsi="Times New Roman" w:eastAsia="Times New Roman" w:cs="Times New Roman"/>
          <w:sz w:val="24"/>
        </w:rPr>
        <w:t xml:space="preserve">части 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заключенного с указанным гражданином.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Работодатель при заключении трудового или гражданско-правового договора на выполнение работ (оказание услуг), указанного в </w:t>
      </w:r>
      <w:r>
        <w:rPr>
          <w:rFonts w:ascii="Times New Roman" w:hAnsi="Times New Roman" w:eastAsia="Times New Roman" w:cs="Times New Roman"/>
          <w:sz w:val="24"/>
        </w:rPr>
        <w:t xml:space="preserve">части 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с гражданином, замещавшим должности государственной или муниципальной службы, перечень которых устанавливается </w:t>
      </w:r>
      <w:r>
        <w:rPr>
          <w:rFonts w:ascii="Times New Roman" w:hAnsi="Times New Roman" w:eastAsia="Times New Roman" w:cs="Times New Roman"/>
          <w:sz w:val="24"/>
        </w:rPr>
        <w:t xml:space="preserve">нормативными правовыми актами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в течение двух лет после его увольнения с государственной или муниципальной службы обязан в десятидневный срок </w:t>
      </w:r>
      <w:r>
        <w:rPr>
          <w:rFonts w:ascii="Times New Roman" w:hAnsi="Times New Roman" w:eastAsia="Times New Roman" w:cs="Times New Roman"/>
          <w:sz w:val="24"/>
        </w:rPr>
        <w:t xml:space="preserve">сообщать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о заключении такого договора представителю нанимателя (работодателю) государственного или муниципального служащего по последнему месту его службы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устанавливаемом нормативными правовыми актами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Неисполнение работодателем обязанности, установленной </w:t>
      </w:r>
      <w:r>
        <w:rPr>
          <w:rFonts w:ascii="Times New Roman" w:hAnsi="Times New Roman" w:eastAsia="Times New Roman" w:cs="Times New Roman"/>
          <w:sz w:val="24"/>
        </w:rPr>
        <w:t xml:space="preserve">частью 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является правонарушением и влечет ответственность в соответствии с </w:t>
      </w:r>
      <w:r>
        <w:rPr>
          <w:rFonts w:ascii="Times New Roman" w:hAnsi="Times New Roman" w:eastAsia="Times New Roman" w:cs="Times New Roman"/>
          <w:sz w:val="24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Проверка соблюдения гражданином, указанным в </w:t>
      </w:r>
      <w:r>
        <w:rPr>
          <w:rFonts w:ascii="Times New Roman" w:hAnsi="Times New Roman" w:eastAsia="Times New Roman" w:cs="Times New Roman"/>
          <w:sz w:val="24"/>
        </w:rPr>
        <w:t xml:space="preserve">части 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 12.1.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иное не установлено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законами или федеральными законами не установлено иное, не вправе: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замещать другие должности в органах государственной власти и органах местного самоуправления;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заниматься предпринимательской деятельностью лично или через доверенных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ганов государственной власти с государственными органами иностранных государств, международными или иностранными организациями;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щаемую на постоянной основе;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униципального образования и </w:t>
      </w:r>
      <w:r>
        <w:rPr>
          <w:rFonts w:ascii="Times New Roman" w:hAnsi="Times New Roman" w:eastAsia="Times New Roman" w:cs="Times New Roman"/>
          <w:sz w:val="24"/>
        </w:rPr>
        <w:t xml:space="preserve">передаются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устанавливаемом нормативными правовыми актами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анизаций;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ыми организациями;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 </w:t>
      </w:r>
      <w:r>
        <w:rPr>
          <w:rFonts w:ascii="Times New Roman" w:hAnsi="Times New Roman" w:eastAsia="Times New Roman" w:cs="Times New Roman"/>
          <w:sz w:val="24"/>
        </w:rPr>
        <w:t xml:space="preserve">информации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ограниченного доступа, ставшие им известными в связи с выполнением служебных обязанностей.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 </w:t>
      </w:r>
      <w:r>
        <w:rPr>
          <w:rFonts w:ascii="Times New Roman" w:hAnsi="Times New Roman" w:eastAsia="Times New Roman" w:cs="Times New Roman"/>
          <w:sz w:val="24"/>
        </w:rPr>
        <w:t xml:space="preserve">пунктами 4 - 11 части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следующих случаев: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обственников недвижимости;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но-строительного, гаражного кооперативов, товарищества собственников недвижимости) с предварительным уведомлением Президента Российской Федерации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Президентом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иные случаи, предусмотренные международными договорами или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 Депутаты законодательных органов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рганизацией, за исключением следующих случаев: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обственников недвижимости;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но-строительного, гаражного кооперативов, товарищества собственников недвижимости) с предварительным уведомлением законодательного органа субъекта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тия в уставном капитале);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иные случаи, предусмотренные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 </w:t>
      </w:r>
      <w:hyperlink r:id="rId9" w:tooltip="https://internet.garant.ru/#/document/12164203/entry/121031" w:history="1">
        <w:r>
          <w:rPr>
            <w:rStyle w:val="812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r>
        <w:rPr>
          <w:rFonts w:ascii="Times New Roman" w:hAnsi="Times New Roman" w:eastAsia="Times New Roman" w:cs="Times New Roman"/>
          <w:sz w:val="24"/>
        </w:rPr>
        <w:t xml:space="preserve">4 - 11 части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Федерации) и осуществляющие свои полномочия на постоянной основе, если федеральными законами не установлен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иное, не вправе участвовать в управлении коммерческой или некоммерческой организацией, за исключением следующих случаев: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обственников недвижимости;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тия в уставном капитале);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иные случаи, предусмотренные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лучаев: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Российской Федерации в порядке, установленном законом субъекта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иные случаи, предусмотренные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также сведения о доходах, об имуществе и обязательствах имущественного характера своих супруг (супругов) и несовершеннолетних детей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настоящим Федеральным законом и иными </w:t>
      </w:r>
      <w:r>
        <w:rPr>
          <w:rFonts w:ascii="Times New Roman" w:hAnsi="Times New Roman" w:eastAsia="Times New Roman" w:cs="Times New Roman"/>
          <w:sz w:val="24"/>
        </w:rPr>
        <w:t xml:space="preserve">нормативными правовыми актами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 </w:t>
      </w:r>
      <w:r>
        <w:rPr>
          <w:rFonts w:ascii="Times New Roman" w:hAnsi="Times New Roman" w:eastAsia="Times New Roman" w:cs="Times New Roman"/>
          <w:sz w:val="24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регулированию такого конфликта.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4.1-2. 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 </w:t>
      </w:r>
      <w:r>
        <w:rPr>
          <w:rFonts w:ascii="Times New Roman" w:hAnsi="Times New Roman" w:eastAsia="Times New Roman" w:cs="Times New Roman"/>
          <w:sz w:val="24"/>
        </w:rPr>
        <w:t xml:space="preserve">части 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существляющий свои полномочия без отрыва от основной деятельности, в случаях, предусмотренных </w:t>
      </w:r>
      <w:r>
        <w:rPr>
          <w:rFonts w:ascii="Times New Roman" w:hAnsi="Times New Roman" w:eastAsia="Times New Roman" w:cs="Times New Roman"/>
          <w:sz w:val="24"/>
        </w:rPr>
        <w:t xml:space="preserve">частью 1 статьи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снове, в случаях, предусмотренных </w:t>
      </w:r>
      <w:r>
        <w:rPr>
          <w:rFonts w:ascii="Times New Roman" w:hAnsi="Times New Roman" w:eastAsia="Times New Roman" w:cs="Times New Roman"/>
          <w:sz w:val="24"/>
        </w:rPr>
        <w:t xml:space="preserve">частью 1 статьи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 </w:t>
      </w:r>
      <w:r>
        <w:rPr>
          <w:rFonts w:ascii="Times New Roman" w:hAnsi="Times New Roman" w:eastAsia="Times New Roman" w:cs="Times New Roman"/>
          <w:sz w:val="24"/>
        </w:rPr>
        <w:t xml:space="preserve">части 4.3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не применяются.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</w:t>
      </w:r>
      <w:r>
        <w:rPr>
          <w:rFonts w:ascii="PT Serif" w:hAnsi="PT Serif" w:eastAsia="PT Serif" w:cs="PT Serif"/>
          <w:color w:val="22272f"/>
          <w:sz w:val="23"/>
        </w:rPr>
        <w:t xml:space="preserve">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r>
        <w:rPr>
          <w:rFonts w:ascii="PT Serif" w:hAnsi="PT Serif" w:eastAsia="PT Serif" w:cs="PT Serif"/>
          <w:sz w:val="23"/>
        </w:rPr>
        <w:t xml:space="preserve">частью 4.2</w:t>
      </w:r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4.5. При выявлении в результате проверки, осуществленной в соответствии с </w:t>
      </w:r>
      <w:r>
        <w:rPr>
          <w:rFonts w:ascii="PT Serif" w:hAnsi="PT Serif" w:eastAsia="PT Serif" w:cs="PT Serif"/>
          <w:sz w:val="23"/>
        </w:rPr>
        <w:t xml:space="preserve">частью 4.4</w:t>
      </w:r>
      <w:r>
        <w:rPr>
          <w:rFonts w:ascii="PT Serif" w:hAnsi="PT Serif" w:eastAsia="PT Serif" w:cs="PT Serif"/>
          <w:color w:val="22272f"/>
          <w:sz w:val="23"/>
        </w:rPr>
        <w:t xml:space="preserve"> 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 </w:t>
      </w:r>
      <w:r>
        <w:rPr>
          <w:rFonts w:ascii="PT Serif" w:hAnsi="PT Serif" w:eastAsia="PT Serif" w:cs="PT Serif"/>
          <w:sz w:val="23"/>
        </w:rPr>
        <w:t xml:space="preserve">Федеральным законом</w:t>
      </w:r>
      <w:r>
        <w:rPr>
          <w:rFonts w:ascii="PT Serif" w:hAnsi="PT Serif" w:eastAsia="PT Serif" w:cs="PT Serif"/>
          <w:color w:val="22272f"/>
          <w:sz w:val="23"/>
        </w:rPr>
        <w:t xml:space="preserve"> от 3 декабря 2012 года N 230-ФЗ "О контроле за соответствием расходов лиц, замещающих государственные должности, и иных лиц их доходам", </w:t>
      </w:r>
      <w:r>
        <w:rPr>
          <w:rFonts w:ascii="PT Serif" w:hAnsi="PT Serif" w:eastAsia="PT Serif" w:cs="PT Serif"/>
          <w:sz w:val="23"/>
        </w:rPr>
        <w:t xml:space="preserve">Федеральным законом</w:t>
      </w:r>
      <w:r>
        <w:rPr>
          <w:rFonts w:ascii="PT Serif" w:hAnsi="PT Serif" w:eastAsia="PT Serif" w:cs="PT Serif"/>
          <w:color w:val="22272f"/>
          <w:sz w:val="23"/>
        </w:rPr>
        <w:t xml:space="preserve"> 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rPr>
          <w:rFonts w:ascii="PT Serif" w:hAnsi="PT Serif" w:eastAsia="PT Serif" w:cs="PT Serif"/>
          <w:color w:val="22272f"/>
          <w:sz w:val="23"/>
        </w:rPr>
        <w:t xml:space="preserve">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</w:t>
      </w:r>
      <w:r>
        <w:rPr>
          <w:rFonts w:ascii="PT Serif" w:hAnsi="PT Serif" w:eastAsia="PT Serif" w:cs="PT Serif"/>
          <w:color w:val="22272f"/>
          <w:sz w:val="23"/>
        </w:rPr>
        <w:t xml:space="preserve">ия в орган местного самоуправления, уполномоченный принимать соответствующее решение, или в суд.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</w:t>
      </w:r>
      <w:r>
        <w:rPr>
          <w:rFonts w:ascii="PT Serif" w:hAnsi="PT Serif" w:eastAsia="PT Serif" w:cs="PT Serif"/>
          <w:color w:val="22272f"/>
          <w:sz w:val="23"/>
        </w:rPr>
        <w:t xml:space="preserve">ия (далее - реестр), сроком на пять лет с момента принятия акта, явившегося основанием для включения в реестр.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Реестр подлежит размещению на официальном сайте федеральной </w:t>
      </w:r>
      <w:r>
        <w:rPr>
          <w:rFonts w:ascii="PT Serif" w:hAnsi="PT Serif" w:eastAsia="PT Serif" w:cs="PT Serif"/>
          <w:sz w:val="23"/>
        </w:rPr>
        <w:t xml:space="preserve">государственной информационной системы</w:t>
      </w:r>
      <w:r>
        <w:rPr>
          <w:rFonts w:ascii="PT Serif" w:hAnsi="PT Serif" w:eastAsia="PT Serif" w:cs="PT Serif"/>
          <w:color w:val="22272f"/>
          <w:sz w:val="23"/>
        </w:rPr>
        <w:t xml:space="preserve"> в области государственной службы в информационно-телекоммуникационной сети "Интернет".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</w:t>
      </w:r>
      <w:r>
        <w:rPr>
          <w:rFonts w:ascii="PT Serif" w:hAnsi="PT Serif" w:eastAsia="PT Serif" w:cs="PT Serif"/>
          <w:color w:val="22272f"/>
          <w:sz w:val="23"/>
        </w:rPr>
        <w:t xml:space="preserve">коррупционного правонарушения;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</w:t>
      </w:r>
      <w:r>
        <w:rPr>
          <w:rFonts w:ascii="PT Serif" w:hAnsi="PT Serif" w:eastAsia="PT Serif" w:cs="PT Serif"/>
          <w:color w:val="22272f"/>
          <w:sz w:val="23"/>
        </w:rPr>
        <w:t xml:space="preserve">ьной государственной информационной системы в области государственной службы в информационно-телекоммуникационной сети "Интернет" осуществляются в </w:t>
      </w:r>
      <w:r>
        <w:rPr>
          <w:rFonts w:ascii="PT Serif" w:hAnsi="PT Serif" w:eastAsia="PT Serif" w:cs="PT Serif"/>
          <w:sz w:val="23"/>
        </w:rPr>
        <w:t xml:space="preserve">порядке</w:t>
      </w:r>
      <w:r>
        <w:rPr>
          <w:rFonts w:ascii="PT Serif" w:hAnsi="PT Serif" w:eastAsia="PT Serif" w:cs="PT Serif"/>
          <w:color w:val="22272f"/>
          <w:sz w:val="23"/>
        </w:rPr>
        <w:t xml:space="preserve">, определяемом Правительством Российской Федерации.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236"/>
        <w:gridCol w:w="31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23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Президент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Д. Медведев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Москва, Кремль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25 декабря 2008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N 273-ФЗ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</w:t>
      </w:r>
      <w:r>
        <w:t xml:space="preserve">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</w:t>
      </w:r>
      <w:r>
        <w:t xml:space="preserve">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</w:t>
      </w:r>
      <w:r>
        <w:t xml:space="preserve">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</w:t>
      </w:r>
      <w:r>
        <w:t xml:space="preserve">Федерации в порядке, установленном законом субъекта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</w:t>
      </w:r>
      <w:r>
        <w:t xml:space="preserve">.5. При выявлении в результате проверки, осуществленной в соответствии с частью 4.4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</w:t>
      </w:r>
      <w:r>
        <w:t xml:space="preserve"> </w:t>
      </w:r>
      <w:r>
        <w:t xml:space="preserve">законом,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</w:t>
      </w:r>
      <w:r>
        <w:t xml:space="preserve">т</w:t>
      </w:r>
      <w:r>
        <w:t xml:space="preserve">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</w:t>
      </w:r>
      <w:r>
        <w:t xml:space="preserve"> </w:t>
      </w:r>
      <w:r>
        <w:t xml:space="preserve">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</w:t>
      </w:r>
      <w:r>
        <w:t xml:space="preserve">щее решение, или в суд.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</w:t>
      </w:r>
      <w:r>
        <w:t xml:space="preserve">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</w:t>
      </w:r>
      <w:r>
        <w:t xml:space="preserve">я (далее - реестр), сроком на пять лет с момента принятия акта, явившегося основанием для включения в реестр.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</w:t>
      </w:r>
      <w:r>
        <w:t xml:space="preserve">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</w:t>
      </w:r>
      <w:r>
        <w:t xml:space="preserve">оррупционного правонарушения;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4</w:t>
      </w:r>
      <w:r>
        <w:t xml:space="preserve">. 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</w:t>
      </w:r>
      <w:r>
        <w:t xml:space="preserve">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Президент Российской Федерации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Д. Медведев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Москва, Кремль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25 декабря 2008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N 273-ФЗ</w:t>
      </w:r>
      <w:r>
        <w:br/>
      </w:r>
      <w:r/>
    </w:p>
    <w:p>
      <w:r/>
      <w:r/>
    </w:p>
    <w:sectPr>
      <w:footnotePr/>
      <w:endnotePr/>
      <w:type w:val="nextPage"/>
      <w:pgSz w:w="11906" w:h="16838" w:orient="portrait"/>
      <w:pgMar w:top="567" w:right="850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#/document/70418480/entry/400" TargetMode="External"/><Relationship Id="rId9" Type="http://schemas.openxmlformats.org/officeDocument/2006/relationships/hyperlink" Target="https://internet.garant.ru/#/document/12164203/entry/12103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2024-12-03T12:29:15Z</dcterms:modified>
</cp:coreProperties>
</file>