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34"/>
        </w:rPr>
        <w:t xml:space="preserve">Указ Президента РФ </w:t>
      </w:r>
      <w:r>
        <w:rPr>
          <w:rFonts w:ascii="PT Serif" w:hAnsi="PT Serif" w:eastAsia="PT Serif" w:cs="PT Serif"/>
          <w:color w:val="22272f"/>
        </w:rPr>
        <w:t xml:space="preserve">от</w:t>
      </w:r>
      <w:r>
        <w:rPr>
          <w:rFonts w:ascii="PT Serif" w:hAnsi="PT Serif" w:eastAsia="PT Serif" w:cs="PT Serif"/>
          <w:color w:val="22272f"/>
          <w:sz w:val="34"/>
        </w:rPr>
        <w:t xml:space="preserve"> 25 декабря 2008</w:t>
      </w:r>
      <w:r>
        <w:rPr>
          <w:rFonts w:ascii="PT Serif" w:hAnsi="PT Serif" w:eastAsia="PT Serif" w:cs="PT Serif"/>
          <w:color w:val="22272f"/>
        </w:rPr>
        <w:t xml:space="preserve"> г. N </w:t>
      </w:r>
      <w:r>
        <w:rPr>
          <w:rFonts w:ascii="PT Serif" w:hAnsi="PT Serif" w:eastAsia="PT Serif" w:cs="PT Serif"/>
          <w:color w:val="22272f"/>
          <w:sz w:val="34"/>
        </w:rPr>
        <w:t xml:space="preserve">1847</w:t>
        <w:br/>
      </w:r>
      <w:r>
        <w:rPr>
          <w:rFonts w:ascii="PT Serif" w:hAnsi="PT Serif" w:eastAsia="PT Serif" w:cs="PT Serif"/>
          <w:color w:val="22272f"/>
        </w:rPr>
        <w:t xml:space="preserve">"О Федеральной службе государственной регистрации, кадастра и картографии"</w:t>
      </w:r>
      <w:r/>
    </w:p>
    <w:p>
      <w:pPr>
        <w:pStyle w:val="19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1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Настоящий Указ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8" w:tooltip="https://internet.garant.ru/#/document/12164246/entry/9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вступает в силу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марта 2009 г., за исключением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9" w:tooltip="https://internet.garant.ru/#/document/12164246/entry/1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пунктов 1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0" w:tooltip="https://internet.garant.ru/#/document/12164246/entry/2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2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1" w:tooltip="https://internet.garant.ru/#/document/12164246/entry/61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подпункта "а" пункта 6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в части, касающейся Федеральной службы государственной регистрации, кадастра и картографии,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2" w:tooltip="https://internet.garant.ru/#/document/58043774/entry/622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абзаца второго подпункта "б" пункта 6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3" w:tooltip="https://internet.garant.ru/#/document/12164246/entry/8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пункта 8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настоящего Указа, которые вступают в силу со дня его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4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официального опубликования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Во исполнение настоящего Указа см.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15" w:tooltip="https://internet.garant.ru/#/document/12166319/entry/0" w:history="1">
        <w:r>
          <w:rPr>
            <w:rStyle w:val="174"/>
            <w:rFonts w:ascii="PT Serif" w:hAnsi="PT Serif" w:eastAsia="PT Serif" w:cs="PT Serif"/>
            <w:color w:val="3272c0"/>
            <w:sz w:val="21"/>
            <w:u w:val="none"/>
          </w:rPr>
          <w:t xml:space="preserve">распоряжение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Правительства РФ от 31 марта 2009 г. N 409-р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целях оптимизации структуры федеральных органов исполнительной власти, в соответствии со </w:t>
      </w:r>
      <w:hyperlink r:id="rId16" w:tooltip="https://internet.garant.ru/#/document/10103000/entry/11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статьей 112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Конституции Российской Федерации и </w:t>
      </w:r>
      <w:hyperlink r:id="rId17" w:tooltip="https://internet.garant.ru/#/document/1210644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конституционным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17 декабря 1997 г. N 2-ФКЗ "О Правительстве Российской Федерации" постановляю: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1 настоящего Указа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8" w:tooltip="https://internet.garant.ru/#/document/12164246/entry/9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вступает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со дня его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9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Переименовать </w:t>
      </w:r>
      <w:hyperlink r:id="rId20" w:tooltip="https://internet.garant.ru/#/document/12160971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Федеральную регистрационную службу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 </w:t>
      </w:r>
      <w:hyperlink r:id="rId21" w:tooltip="https://internet.garant.ru/#/document/12167669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Федеральную службу государственной регистрации, кадастра и картографии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2 настоящего Указа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2" w:tooltip="https://internet.garant.ru/#/document/12164246/entry/9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вступает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со дня его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3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Возложить на Федеральную службу государственной регистрации, кадастра и картографии функции по организации единой системы государственного кадастрового учета недвижимости и государственной регистрации прав на недвижимое имущество и сделок с ним, а также</w:t>
      </w:r>
      <w:r>
        <w:rPr>
          <w:rFonts w:ascii="PT Serif" w:hAnsi="PT Serif" w:eastAsia="PT Serif" w:cs="PT Serif"/>
          <w:color w:val="22272f"/>
          <w:sz w:val="23"/>
        </w:rPr>
        <w:t xml:space="preserve"> инфраструктуры пространственных данных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Упразднить </w:t>
      </w:r>
      <w:hyperlink r:id="rId24" w:tooltip="https://internet.garant.ru/#/document/12136430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Федеральное агентство геодезии и картографии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25" w:tooltip="https://internet.garant.ru/#/document/12136606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Федеральное агентство кадастра объектов недвижимости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Передать Федеральной службе государственной регистрации, кадастра и картографии функции упраздняемых Федерального агентства геодезии и картографии и Федерального агентства кадастра объектов недвижимости.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Установить, что Федеральная служба государственной регистрации, кадастра и картографии является правопреемником Федерального агентства геодезии и картографии и Федерального агентства кадастра объектов недвижимости, в том числе по обязательствам, возникш</w:t>
      </w:r>
      <w:r>
        <w:rPr>
          <w:rFonts w:ascii="PT Serif" w:hAnsi="PT Serif" w:eastAsia="PT Serif" w:cs="PT Serif"/>
          <w:color w:val="22272f"/>
          <w:sz w:val="23"/>
        </w:rPr>
        <w:t xml:space="preserve">им в результате исполнения судебных решений.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Внести в </w:t>
      </w:r>
      <w:hyperlink r:id="rId26" w:tooltip="https://internet.garant.ru/#/document/12160263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Указ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Президента Российской Федерации от 12 мая 2008 г. N 724 "Вопросы системы и структуры федеральных органов исполнительной власти" (Собрание законодательства Российской Федерации, 2008, N 20, ст. 2290; N 22, ст. 2544; N 30, ст. 3619; N 37, ст. 4181; N 41, ст</w:t>
      </w:r>
      <w:r>
        <w:rPr>
          <w:rFonts w:ascii="PT Serif" w:hAnsi="PT Serif" w:eastAsia="PT Serif" w:cs="PT Serif"/>
          <w:color w:val="22272f"/>
          <w:sz w:val="23"/>
        </w:rPr>
        <w:t xml:space="preserve">. 4653; N 42, ст. 4788) и в </w:t>
      </w:r>
      <w:hyperlink r:id="rId27" w:tooltip="https://internet.garant.ru/#/document/12160263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структуру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федеральных органов исполнительной власти, утвержденную этим Указом, следующие изменения: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Подпункт "а" пункта 6 настоящего Указа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8" w:tooltip="https://internet.garant.ru/#/document/12164246/entry/9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вступает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со дня его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в части, касающейся Федеральной службы государственной регистрации, кадастра и картографии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а) </w:t>
      </w:r>
      <w:hyperlink r:id="rId30" w:tooltip="https://internet.garant.ru/#/document/12160263/entry/10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абзац четвертый пункта 10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Указа изложить в следующей редакции: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"Установить, что в ведении Министерства экономического развития Российской Федерации находятся Федеральная служба государственной регистрации, кадастра и картографии, Федеральная служба государственной статистики, Федеральное агентство по государственным р</w:t>
      </w:r>
      <w:r>
        <w:rPr>
          <w:rFonts w:ascii="PT Serif" w:hAnsi="PT Serif" w:eastAsia="PT Serif" w:cs="PT Serif"/>
          <w:color w:val="22272f"/>
          <w:sz w:val="23"/>
        </w:rPr>
        <w:t xml:space="preserve">езервам, Федеральное агентство по управлению государственным имуществом и Федеральное агентство по управлению особыми экономическими зонами.";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б) </w:t>
      </w:r>
      <w:hyperlink r:id="rId31" w:tooltip="https://internet.garant.ru/#/document/70178476/entry/210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" w:tooltip="https://internet.garant.ru/#/document/58043774/entry/6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подпункта "б" пункта 6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Признать утратившими силу: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" w:tooltip="https://internet.garant.ru/#/document/186816/entry/15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абзац девятый пункта 15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Указа Президента Российской Федерации от 9 марта 2004 г. N 314 "О системе и структуре федеральных органов исполнительной власти" (Собрание законодательства Российской Федерации, 2004, N 11, ст. 945);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" w:tooltip="https://internet.garant.ru/#/document/12135513/entry/2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абзац четвертый пункта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Указа Президента Российской Федерации от 20 мая 2004 г. N 649 "Вопросы структуры федеральных органов исполнительной власти" (Собрание законодательства Российской Федерации, 2004, N 21, ст. 2023).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8 настоящего Указа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5" w:tooltip="https://internet.garant.ru/#/document/12164246/entry/9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вступает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со дня его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6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Правительству Российской Федерации принять необходимые меры по реализации настоящего Указа.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Настоящий Указ вступает в силу с 1 марта 2009 г., за исключением </w:t>
      </w:r>
      <w:hyperlink r:id="rId37" w:tooltip="https://internet.garant.ru/#/document/12164246/entry/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пунктов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38" w:tooltip="https://internet.garant.ru/#/document/12164246/entry/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39" w:tooltip="https://internet.garant.ru/#/document/12164246/entry/6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подпункта "а" пункта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 части, касающейся Федеральной службы государственной регистрации, кадастра и картографии, </w:t>
      </w:r>
      <w:hyperlink r:id="rId40" w:tooltip="https://internet.garant.ru/#/document/58043774/entry/62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абзаца второго подпункта "б" пункта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41" w:tooltip="https://internet.garant.ru/#/document/12164246/entry/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пункта 8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 Указа, которые вступают в силу со дня его </w:t>
      </w:r>
      <w:hyperlink r:id="rId42" w:tooltip="https://internet.garant.ru/#/document/12264246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22272f"/>
                <w:sz w:val="23"/>
              </w:rPr>
              <w:t xml:space="preserve">Президент Российской 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22272f"/>
                <w:sz w:val="23"/>
              </w:rPr>
              <w:t xml:space="preserve">Д. Медведев</w:t>
            </w:r>
            <w:r/>
          </w:p>
        </w:tc>
      </w:tr>
    </w:tbl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Москва, Кремль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25 декабря 2008 г.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N 1847</w:t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#/document/12164246/entry/9" TargetMode="External"/><Relationship Id="rId9" Type="http://schemas.openxmlformats.org/officeDocument/2006/relationships/hyperlink" Target="https://internet.garant.ru/#/document/12164246/entry/1" TargetMode="External"/><Relationship Id="rId10" Type="http://schemas.openxmlformats.org/officeDocument/2006/relationships/hyperlink" Target="https://internet.garant.ru/#/document/12164246/entry/2" TargetMode="External"/><Relationship Id="rId11" Type="http://schemas.openxmlformats.org/officeDocument/2006/relationships/hyperlink" Target="https://internet.garant.ru/#/document/12164246/entry/61" TargetMode="External"/><Relationship Id="rId12" Type="http://schemas.openxmlformats.org/officeDocument/2006/relationships/hyperlink" Target="https://internet.garant.ru/#/document/58043774/entry/622" TargetMode="External"/><Relationship Id="rId13" Type="http://schemas.openxmlformats.org/officeDocument/2006/relationships/hyperlink" Target="https://internet.garant.ru/#/document/12164246/entry/8" TargetMode="External"/><Relationship Id="rId14" Type="http://schemas.openxmlformats.org/officeDocument/2006/relationships/hyperlink" Target="https://internet.garant.ru/#/document/12264246/entry/0" TargetMode="External"/><Relationship Id="rId15" Type="http://schemas.openxmlformats.org/officeDocument/2006/relationships/hyperlink" Target="https://internet.garant.ru/#/document/12166319/entry/0" TargetMode="External"/><Relationship Id="rId16" Type="http://schemas.openxmlformats.org/officeDocument/2006/relationships/hyperlink" Target="https://internet.garant.ru/#/document/10103000/entry/112" TargetMode="External"/><Relationship Id="rId17" Type="http://schemas.openxmlformats.org/officeDocument/2006/relationships/hyperlink" Target="https://internet.garant.ru/#/document/12106440/entry/0" TargetMode="External"/><Relationship Id="rId18" Type="http://schemas.openxmlformats.org/officeDocument/2006/relationships/hyperlink" Target="https://internet.garant.ru/#/document/12164246/entry/9" TargetMode="External"/><Relationship Id="rId19" Type="http://schemas.openxmlformats.org/officeDocument/2006/relationships/hyperlink" Target="https://internet.garant.ru/#/document/12264246/entry/0" TargetMode="External"/><Relationship Id="rId20" Type="http://schemas.openxmlformats.org/officeDocument/2006/relationships/hyperlink" Target="https://internet.garant.ru/#/document/12160971/entry/1000" TargetMode="External"/><Relationship Id="rId21" Type="http://schemas.openxmlformats.org/officeDocument/2006/relationships/hyperlink" Target="https://internet.garant.ru/#/document/12167669/entry/1000" TargetMode="External"/><Relationship Id="rId22" Type="http://schemas.openxmlformats.org/officeDocument/2006/relationships/hyperlink" Target="https://internet.garant.ru/#/document/12164246/entry/9" TargetMode="External"/><Relationship Id="rId23" Type="http://schemas.openxmlformats.org/officeDocument/2006/relationships/hyperlink" Target="https://internet.garant.ru/#/document/12264246/entry/0" TargetMode="External"/><Relationship Id="rId24" Type="http://schemas.openxmlformats.org/officeDocument/2006/relationships/hyperlink" Target="https://internet.garant.ru/#/document/12136430/entry/1000" TargetMode="External"/><Relationship Id="rId25" Type="http://schemas.openxmlformats.org/officeDocument/2006/relationships/hyperlink" Target="https://internet.garant.ru/#/document/12136606/entry/1000" TargetMode="External"/><Relationship Id="rId26" Type="http://schemas.openxmlformats.org/officeDocument/2006/relationships/hyperlink" Target="https://internet.garant.ru/#/document/12160263/entry/0" TargetMode="External"/><Relationship Id="rId27" Type="http://schemas.openxmlformats.org/officeDocument/2006/relationships/hyperlink" Target="https://internet.garant.ru/#/document/12160263/entry/1000" TargetMode="External"/><Relationship Id="rId28" Type="http://schemas.openxmlformats.org/officeDocument/2006/relationships/hyperlink" Target="https://internet.garant.ru/#/document/12164246/entry/9" TargetMode="External"/><Relationship Id="rId29" Type="http://schemas.openxmlformats.org/officeDocument/2006/relationships/hyperlink" Target="https://internet.garant.ru/#/document/12264246/entry/0" TargetMode="External"/><Relationship Id="rId30" Type="http://schemas.openxmlformats.org/officeDocument/2006/relationships/hyperlink" Target="https://internet.garant.ru/#/document/12160263/entry/103" TargetMode="External"/><Relationship Id="rId31" Type="http://schemas.openxmlformats.org/officeDocument/2006/relationships/hyperlink" Target="https://internet.garant.ru/#/document/70178476/entry/2108" TargetMode="External"/><Relationship Id="rId32" Type="http://schemas.openxmlformats.org/officeDocument/2006/relationships/hyperlink" Target="https://internet.garant.ru/#/document/58043774/entry/62" TargetMode="External"/><Relationship Id="rId33" Type="http://schemas.openxmlformats.org/officeDocument/2006/relationships/hyperlink" Target="https://internet.garant.ru/#/document/186816/entry/158" TargetMode="External"/><Relationship Id="rId34" Type="http://schemas.openxmlformats.org/officeDocument/2006/relationships/hyperlink" Target="https://internet.garant.ru/#/document/12135513/entry/23" TargetMode="External"/><Relationship Id="rId35" Type="http://schemas.openxmlformats.org/officeDocument/2006/relationships/hyperlink" Target="https://internet.garant.ru/#/document/12164246/entry/9" TargetMode="External"/><Relationship Id="rId36" Type="http://schemas.openxmlformats.org/officeDocument/2006/relationships/hyperlink" Target="https://internet.garant.ru/#/document/12264246/entry/0" TargetMode="External"/><Relationship Id="rId37" Type="http://schemas.openxmlformats.org/officeDocument/2006/relationships/hyperlink" Target="https://internet.garant.ru/#/document/12164246/entry/1" TargetMode="External"/><Relationship Id="rId38" Type="http://schemas.openxmlformats.org/officeDocument/2006/relationships/hyperlink" Target="https://internet.garant.ru/#/document/12164246/entry/2" TargetMode="External"/><Relationship Id="rId39" Type="http://schemas.openxmlformats.org/officeDocument/2006/relationships/hyperlink" Target="https://internet.garant.ru/#/document/12164246/entry/61" TargetMode="External"/><Relationship Id="rId40" Type="http://schemas.openxmlformats.org/officeDocument/2006/relationships/hyperlink" Target="https://internet.garant.ru/#/document/58043774/entry/622" TargetMode="External"/><Relationship Id="rId41" Type="http://schemas.openxmlformats.org/officeDocument/2006/relationships/hyperlink" Target="https://internet.garant.ru/#/document/12164246/entry/8" TargetMode="External"/><Relationship Id="rId42" Type="http://schemas.openxmlformats.org/officeDocument/2006/relationships/hyperlink" Target="https://internet.garant.ru/#/document/12264246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2024-11-19T06:54:20Z</dcterms:modified>
</cp:coreProperties>
</file>